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4.3.1. Использовать участок на условиях, установленных Договором;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AD3FCD" w:rsidRDefault="00AD3FCD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AD3FCD">
        <w:rPr>
          <w:rFonts w:ascii="Times New Roman CYR" w:hAnsi="Times New Roman CYR" w:cs="Times New Roman CYR"/>
          <w:snapToGrid w:val="0"/>
        </w:rPr>
        <w:t>4.4.3. Устанавливать на земельном участке временные строения, в целях их использования. Временные строения устанавливаются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154AF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6" w:rsidRDefault="00990886">
      <w:r>
        <w:separator/>
      </w:r>
    </w:p>
  </w:endnote>
  <w:endnote w:type="continuationSeparator" w:id="0">
    <w:p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6" w:rsidRDefault="00990886">
      <w:r>
        <w:separator/>
      </w:r>
    </w:p>
  </w:footnote>
  <w:footnote w:type="continuationSeparator" w:id="0">
    <w:p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6435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6435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1684"/>
    <w:rsid w:val="009717E8"/>
    <w:rsid w:val="00972D2E"/>
    <w:rsid w:val="00975BF1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2016-05-19T10:44:00Z</dcterms:created>
  <dcterms:modified xsi:type="dcterms:W3CDTF">2016-05-19T10:44:00Z</dcterms:modified>
</cp:coreProperties>
</file>