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67028A">
        <w:rPr>
          <w:rFonts w:ascii="Times New Roman CYR" w:hAnsi="Times New Roman CYR"/>
          <w:b/>
          <w:snapToGrid w:val="0"/>
          <w:u w:val="single"/>
        </w:rPr>
        <w:t>6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B04098" w:rsidRDefault="00B04098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B04098">
        <w:rPr>
          <w:snapToGrid w:val="0"/>
        </w:rPr>
        <w:t xml:space="preserve">4.4.3. </w:t>
      </w:r>
      <w:r w:rsidRPr="00B04098">
        <w:rPr>
          <w:rFonts w:ascii="Times New Roman CYR" w:hAnsi="Times New Roman CYR" w:cs="Times New Roman CYR"/>
          <w:snapToGrid w:val="0"/>
        </w:rPr>
        <w:t>Возводить на земельном участке с соблюдением правил застройки здания, в целях их использования и оформлять права собственности на них в соответствии с действующим законодательством. Здания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154AF7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86" w:rsidRDefault="00990886">
      <w:r>
        <w:separator/>
      </w:r>
    </w:p>
  </w:endnote>
  <w:endnote w:type="continuationSeparator" w:id="0">
    <w:p w:rsidR="00990886" w:rsidRDefault="009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86" w:rsidRDefault="00990886">
      <w:r>
        <w:separator/>
      </w:r>
    </w:p>
  </w:footnote>
  <w:footnote w:type="continuationSeparator" w:id="0">
    <w:p w:rsidR="00990886" w:rsidRDefault="0099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1D6E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1D6E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2017-01-17T12:08:00Z</dcterms:created>
  <dcterms:modified xsi:type="dcterms:W3CDTF">2017-01-17T12:08:00Z</dcterms:modified>
</cp:coreProperties>
</file>