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0553DD" w:rsidRDefault="000553DD" w:rsidP="000553D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Валдайского муниципального района</w:t>
      </w:r>
    </w:p>
    <w:p w:rsidR="000553DD" w:rsidRDefault="000553DD" w:rsidP="000553D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2017 год и на плановый период 2018 и 2019 годов</w:t>
      </w:r>
    </w:p>
    <w:p w:rsidR="000553DD" w:rsidRDefault="000553DD" w:rsidP="000553DD">
      <w:pPr>
        <w:jc w:val="both"/>
        <w:rPr>
          <w:b/>
          <w:sz w:val="28"/>
          <w:szCs w:val="28"/>
        </w:rPr>
      </w:pPr>
    </w:p>
    <w:p w:rsidR="000553DD" w:rsidRDefault="000553DD" w:rsidP="000553DD">
      <w:pPr>
        <w:jc w:val="both"/>
        <w:rPr>
          <w:b/>
          <w:sz w:val="28"/>
          <w:szCs w:val="28"/>
        </w:rPr>
      </w:pPr>
    </w:p>
    <w:p w:rsidR="000553DD" w:rsidRDefault="000553DD" w:rsidP="000553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29 декабря 2016 года.</w:t>
      </w:r>
    </w:p>
    <w:p w:rsidR="000553DD" w:rsidRDefault="000553DD" w:rsidP="000553DD">
      <w:pPr>
        <w:jc w:val="both"/>
        <w:rPr>
          <w:sz w:val="28"/>
          <w:szCs w:val="28"/>
        </w:rPr>
      </w:pP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538 миллионов 79 тысяч 802 рубля;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538 миллионов 79 тысяч 802 рубля;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0 рублей.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2018 год и на 2019 год: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на 2018 год в сумме 528 миллионов 526 тысяч 702 рубля и на 2019 год в сумме 531 миллион 174 тысячи 302 рубля;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на 2018 год в сумме 528 миллионов 526 тысяч 702 рубля и на 2019 год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529 миллионов 334 тысячи 550 рублей;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муниципального района на 2018 год в сумме 0 рублей, прогнозируемый профицит бюджета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2019 год в сумме 1 миллион 839 тысяч 752 рубля.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прогнозируемые поступления доходов в бюджет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на 2017 год и на плановый период 2018 и 2019 годов согласно приложению 1к настоящему решению. 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источники финансирования дефицита бюджета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на 2017 год и на плановый период 2018 и 2019 годов согласно приложению 2 к настоящему решению.</w:t>
      </w:r>
    </w:p>
    <w:p w:rsidR="000553DD" w:rsidRDefault="000553DD" w:rsidP="000553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2017 году остатки средств бюджета Валдайского муниципального района по состоянию на 1 января 2017 года, за исключением остатков неиспользованных средств дорожного фонда Валдайского </w:t>
      </w:r>
    </w:p>
    <w:p w:rsidR="000553DD" w:rsidRDefault="000553DD" w:rsidP="000553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района,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источников внутреннего финансирования дефицита бюджета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lastRenderedPageBreak/>
        <w:t>муниципального района снижения остатков средств на счете по учету средств бюджета Валдайского муниципального района, могут в полном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еме направляться на покрытие временных кассовых разрывов.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Установить, что доходы бюджета Валдайского муниципального 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на 2017 год и на плановый период 2018 и 2019 годов формируются за счет: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федеральных, региональных налогов и сборов и неналоговых доходов – в соответствии с нормативами, установленными Бюджетным кодексом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проектом областного закона «Об областном бюджете на 2017 год и на плановый период 2018 и 2019 годов»;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федеральных, региональных налогов и сборов и неналоговых доходов – в соответствии с нормативами отчислений согласно приложений 3,4,5 к настоящему решению;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средств, взысканных в качестве штрафов, налагаемых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 порядке, а также по вступившим в законную силу приговорам судов (судей) в размере 100 процентов, за исключением средств, в отношении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установлен особый порядок распределения;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прочих налогов, сборов, пошлин и других платежей, подлежащих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числению в бюджет Валдайского муниципального района в соответствии с законодательством Российской Федерации.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Утвердить перечень главных администраторов доходов бюджета Валдайского  муниципального района согласно приложению 6 к настоящему решению.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перечень главных администраторов источников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дефицита бюджета Валдайского муниципального района согласно приложению 7 к настоящему решению.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Установить процент отчислений в бюджет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части прибыли муниципальных унитарных предприятий за 2016-2019 годы, остающейся после уплаты налогов и иных обязательных платежей, применяющих общий режим налогообложения, в  размере 5 и 10 процентов, при общей рентабельности до 10 и свыше 10 процентов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Показатель «общая рентабельность» определять как отношение чистой прибыли к выручке от продажи товаров, продукции, выполнения работ и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услуг.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случаях одновременного применения муниципальными унитарными предприятиями общего режима и специальных режимов  налогообложения, показатель «общая рентабельность» определять по видам экономической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ятельности, облагаемым по общему режиму налогообложения.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Установить процент отчислений в бюджет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части прибыли муниципальных унитарных предприятий за 2016-2019 годы, остающейся после уплаты налогов и иных обязательных плат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жей, применяющих специальные режимы налогообложения, в размере 5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За  несвоевременное  и (или) неполное перечисление в бюджет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части прибыли муниципальное унитарное предприятие уплачивает пени по процентной ставке, равной одной трехс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той  ставки рефинансирования Центрального банка Российской Федерации, действующей на дату их уплаты, за каждый день просрочки от суммы плат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жа, определенной в соответствии с настоящим пунктом.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выявления фактов занижения размеров части прибыли,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лежащей перечислению в бюджет Валдайского муниципального района, при сдаче бухгалтерских отчетов, а также по результатам проверок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унитарное предприятие уплачивает задолженность и пени в соответствии с абзацем 5 пункта 6, а также штраф в размере 20 процентов от неуплаченной суммы платежа, определенной в соответствии  с настоящим пунктом;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Зачисление части прибыли в бюджет Валдайского муниципального района муниципальными унитарными предприятиями производится в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и сроки, установленные Администрацией  муниципального района.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Администрация муниципального района вправе в пределах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года проводить и определять порядок и сроки реструктуризации 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торской задолженности юридических лиц по местным налогам и сборам,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ням и штрафам, формирующим бюджет 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Установить, что в 2017-2019 годах производится списание сумм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долженности по пеням и штрафам с организаций, выполнивших условия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структуризации по местным налогам, в порядке, установленном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Администрации  муниципального района.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Порядок списания задолженности пеней и штрафов по 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ющим налогам устанавливается Администрацией муниципального района.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Реструктуризация долгов сельскохозяйственных товаропроизводит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района перед бюджетом Валдайского муниципального района в 2017-2019 годах проводится в соответствии с Федеральным законом от 9 июля 2002 года № 83-ФЗ «О финансовом оздоровлении сельскохозяйственных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варопроизводителей».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Размер платы за отсроченную и (или) рассроченную задолженность по платежам в бюджет Валдайского муниципального района устанавливается  в размере 0.3 процента  годовых.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Разрешить Администрации муниципального района по бюджетным средствам, выданным из  бюджета Валдайского муниципального района на возвратной основе, списывать задолженность по организациям, которые определением Арбитражного суда признаны банкротами и ликвидированы.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списания задолженности утверждается Администрацией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 Дебиторская задолженность, безнадёжная к взысканию, списывается с балансов получателей средств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порядке, установленном Администрацией муниципального района.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Операции со средствами, поступающими во временное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получателей средств бюджета Валдайского муниципального района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ответствии с нормативными правовыми актами Российской Федерации,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области и района, в соответствии с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чённым Соглашением учитываются на лицевых счетах, открытых им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деле № 2 Управления Федерального казначейства по Новгородской области.</w:t>
      </w:r>
    </w:p>
    <w:p w:rsidR="000553DD" w:rsidRDefault="000553DD" w:rsidP="000553DD">
      <w:pPr>
        <w:jc w:val="both"/>
        <w:rPr>
          <w:b/>
          <w:sz w:val="28"/>
          <w:szCs w:val="24"/>
        </w:rPr>
      </w:pPr>
      <w:r>
        <w:rPr>
          <w:sz w:val="28"/>
          <w:szCs w:val="28"/>
        </w:rPr>
        <w:tab/>
        <w:t xml:space="preserve">10. </w:t>
      </w:r>
      <w:r>
        <w:rPr>
          <w:sz w:val="28"/>
        </w:rPr>
        <w:t>Остатки средств муниципальных бюджетных и автономных учр</w:t>
      </w:r>
      <w:r>
        <w:rPr>
          <w:sz w:val="28"/>
        </w:rPr>
        <w:t>е</w:t>
      </w:r>
      <w:r>
        <w:rPr>
          <w:sz w:val="28"/>
        </w:rPr>
        <w:t>ждений на счете Отдела № 2 Управления Федерального казначейства по Но</w:t>
      </w:r>
      <w:r>
        <w:rPr>
          <w:sz w:val="28"/>
        </w:rPr>
        <w:t>в</w:t>
      </w:r>
      <w:r>
        <w:rPr>
          <w:sz w:val="28"/>
        </w:rPr>
        <w:t>городской области, открытом в учреждении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и автоно</w:t>
      </w:r>
      <w:r>
        <w:rPr>
          <w:sz w:val="28"/>
        </w:rPr>
        <w:t>м</w:t>
      </w:r>
      <w:r>
        <w:rPr>
          <w:sz w:val="28"/>
        </w:rPr>
        <w:t>ных учреждений, перечисляются  Отделом № 2 Управления Федерального казначейства по Новгородской области в 2017 году в бюджет района, а также возвращаются на указанный счет в порядке, установленном Министерством финансов Российской Федерации, и в соответствии с Соглашением о пер</w:t>
      </w:r>
      <w:r>
        <w:rPr>
          <w:sz w:val="28"/>
        </w:rPr>
        <w:t>е</w:t>
      </w:r>
      <w:r>
        <w:rPr>
          <w:sz w:val="28"/>
        </w:rPr>
        <w:t>числении остатков средств муниципальных бюджетных и автономных учр</w:t>
      </w:r>
      <w:r>
        <w:rPr>
          <w:sz w:val="28"/>
        </w:rPr>
        <w:t>е</w:t>
      </w:r>
      <w:r>
        <w:rPr>
          <w:sz w:val="28"/>
        </w:rPr>
        <w:t>ждений, заключенным между Отделом № 2 Управления Федерального казн</w:t>
      </w:r>
      <w:r>
        <w:rPr>
          <w:sz w:val="28"/>
        </w:rPr>
        <w:t>а</w:t>
      </w:r>
      <w:r>
        <w:rPr>
          <w:sz w:val="28"/>
        </w:rPr>
        <w:t>чейства по Новгородской области и Администрацией муниципального рай</w:t>
      </w:r>
      <w:r>
        <w:rPr>
          <w:sz w:val="28"/>
        </w:rPr>
        <w:t>о</w:t>
      </w:r>
      <w:r>
        <w:rPr>
          <w:sz w:val="28"/>
        </w:rPr>
        <w:t>на.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Утвердить объём 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Федерации на 2017 год в сумме 354 миллиона 284 тысячи 602 рубля, на 2018 год в сумме 343 милли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430 тысяч 102 рубля, на 2019 год в сумме 343 миллиона 526 тысяч 702 рубля.</w:t>
      </w:r>
    </w:p>
    <w:p w:rsidR="000553DD" w:rsidRDefault="000553DD" w:rsidP="00055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Утвердить общий объём бюджетных ассигнований на исполнение публичных нормативных обязательств на 2017 год в сумме 117 миллионов 775 тысяч 192 рубля, на 2018 год в сумме 115 миллионов 556 тысяч 240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на 2019 год в сумме 115 миллионов 553 тысячи 40 рублей.</w:t>
      </w:r>
    </w:p>
    <w:p w:rsidR="000553DD" w:rsidRDefault="000553DD" w:rsidP="00055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ведомственную структуру расходов бюджета Валдайского муниципального района на 2017 год и на плановый период 2018 и 2019 годов согласно приложению 8 к настоящему решению.        </w:t>
      </w:r>
    </w:p>
    <w:p w:rsidR="000553DD" w:rsidRDefault="000553DD" w:rsidP="00055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разделам,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(муниципальным программам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непрограммным направлениям деятельности),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пам и подгруппам видов расходов классификации расходов бюджета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на 2017 год и на плановый период 2018 и 2019 годов согласно приложению 9 к настоящему решению.</w:t>
      </w:r>
    </w:p>
    <w:p w:rsidR="000553DD" w:rsidRDefault="000553DD" w:rsidP="00055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ям (муниципальным программам Валдайского муниципального района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Валдайского муниципального района на 2017 год и на плановый период 2018 и 2019 годов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10 к настоящему решению.</w:t>
      </w:r>
    </w:p>
    <w:p w:rsidR="000553DD" w:rsidRDefault="000553DD" w:rsidP="00055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объём бюджетных ассигнований  дорожного фонда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на 2017 год в сумме 13 миллионов 252 тысячи 700 рублей, на 2018 год в сумме 9 миллионов 406 тысяч 500 рублей, на 2019 год в сумме 10 миллионов 117 тысяч рублей.</w:t>
      </w:r>
    </w:p>
    <w:p w:rsidR="000553DD" w:rsidRDefault="000553DD" w:rsidP="00055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объём резервного фонда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2017 год в сумме 50 тысяч рублей, на 2018 год в сумме 50 тысяч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лей, на 2019 год в сумме 50 тысяч рублей.  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Субсидии юридическим лицам (за исключением субсидий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 (муниципальным учреждениям), индивидуальным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и физическим лицам – производителям товаров, работ, услуг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в рамках муниципальной программы "Обеспечение экономического развития Валдайского района на 2016-2020 годы" на предоставление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 начинающим субъектам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14. Утвердить распределение межбюджетных трансфертов бюджетам городского и сельских поселений на 2017 год и на плановый период 2018 и 2019 годов согласно приложению 11 к настоящему решению.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Перераспределение субвенций на выполнение отдельных передава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государственных полномочий между бюджетами городского и сельских поселений производится на основании ежеквартальных отчётов исходя из фактических расходов на осуществление органами местного самоуправления района отдельных государственный полномочий области.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Принять за основу расчёт  нормативных расходов на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жилищно - коммунального хозяйства Новгородской области, учитыва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при формировании показателей межбюджетных отношений с бюджет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поселений  и муниципальных районов на 2017-2019 годы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ложения 12 к настоящему решению.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 Утвердить нормативные расходы на организацию благоустройства территории поселений (включая озеленение территории,  установку указат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с наименованиями улиц и номерами домов, размещение и содержание малых архитектурных форм), участие в организации деятельности по сбору ( в том числе раздельному сбору) и транспортированию твёрдых коммунал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отходов,  а также использования, охраны, защиты, воспроизводства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родских лесов, лесов особо охраняемых природных территорий,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в границах населенных пунктов поселений, организацию ритуальных услуг и содержание мест захоронения на 2017-2019 годы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13 к настоящему решению. </w:t>
      </w:r>
    </w:p>
    <w:p w:rsidR="000553DD" w:rsidRDefault="000553DD" w:rsidP="00055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Утвердить норматив финансового обеспечения образовательной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 организаций, подведомственных органам управления, реализу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полномочия в сфере  образования на 2017 год согласно приложения 14 к настоящему решению, на 2018 год согласно приложения 15 к настоящему решению, на 2019 год согласно приложения 16 к настоящему решению.</w:t>
      </w:r>
    </w:p>
    <w:p w:rsidR="000553DD" w:rsidRDefault="000553DD" w:rsidP="000553DD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18. Утвердить </w:t>
      </w:r>
      <w:r>
        <w:rPr>
          <w:sz w:val="28"/>
          <w:szCs w:val="28"/>
        </w:rPr>
        <w:t>нормативы финансового обеспечения образовательной деятельности муниципальных организаций дополнительного образования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тей, осуществляющих деятельность в области физической культуры и спорта на 2017 год согласно приложения 17 к настоящему решению, на 2018 год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 18 к настоящему решению, на 2019 год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19 к настоящему решению.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19. Утвердить Программу муниципальных заимствований района на 2017 год и на плановый период 2018 и 2019 годов согласно приложению 20 к настоящему решению.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Установить предельный объем муниципального долга района на 2017 год в сумме 141 миллион 60 тысяч 200 рублей, на 2018 год в сумме 143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лиона 718 тысяч 600 рублей, на 2019 год в сумме 148 миллионов 112 тысяч 600 рублей.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Установить верхний предел муниципального внутреннего долга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на 1 января 2018 года по долговым обязательствам в сумме 50 миллионов рублей, на 1 января 2019 года по долговым обязательствам в сумме 50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лионов рублей, на 1 января 2020 года по долговым обязательствам в сумме 50 миллионов рублей. 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Установить объём расходов на обслуживание муниципального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реннего долга района на 2017 год  в размере 1 миллион 617  тысяч рублей, на 2018 год  в размере 1 миллион 617  тысяч рублей, на 2019 год  в размере 1 миллион 617  тысяч рублей.</w:t>
      </w:r>
    </w:p>
    <w:p w:rsidR="000553DD" w:rsidRDefault="000553DD" w:rsidP="00055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20. Настоящее решение вступает в силу с 01 января 2017 года.</w:t>
      </w:r>
    </w:p>
    <w:p w:rsidR="00022CD9" w:rsidRDefault="000553DD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21. 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746EA5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6EA5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D12BB2">
              <w:rPr>
                <w:color w:val="000000"/>
                <w:sz w:val="28"/>
                <w:szCs w:val="28"/>
              </w:rPr>
              <w:t xml:space="preserve"> 96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23" w:rsidRDefault="004B6823">
      <w:r>
        <w:separator/>
      </w:r>
    </w:p>
  </w:endnote>
  <w:endnote w:type="continuationSeparator" w:id="0">
    <w:p w:rsidR="004B6823" w:rsidRDefault="004B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23" w:rsidRDefault="004B6823">
      <w:r>
        <w:separator/>
      </w:r>
    </w:p>
  </w:footnote>
  <w:footnote w:type="continuationSeparator" w:id="0">
    <w:p w:rsidR="004B6823" w:rsidRDefault="004B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C2A86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53DD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2B7A"/>
    <w:rsid w:val="004B5079"/>
    <w:rsid w:val="004B6823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2BB2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2A86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A32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2012-11-15T06:10:00Z</cp:lastPrinted>
  <dcterms:created xsi:type="dcterms:W3CDTF">2016-12-29T15:38:00Z</dcterms:created>
  <dcterms:modified xsi:type="dcterms:W3CDTF">2016-12-29T15:38:00Z</dcterms:modified>
</cp:coreProperties>
</file>