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013E9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631AB6" w:rsidRPr="00631AB6" w:rsidRDefault="00631AB6" w:rsidP="00631AB6">
      <w:pPr>
        <w:spacing w:line="240" w:lineRule="exact"/>
        <w:jc w:val="center"/>
        <w:rPr>
          <w:sz w:val="28"/>
          <w:szCs w:val="28"/>
        </w:rPr>
      </w:pPr>
    </w:p>
    <w:p w:rsidR="00631AB6" w:rsidRDefault="00631AB6" w:rsidP="00631AB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Методик расчёта распределения</w:t>
      </w:r>
    </w:p>
    <w:p w:rsidR="00631AB6" w:rsidRDefault="00631AB6" w:rsidP="00631AB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субвенций между бюджетами поселений и расчёта</w:t>
      </w:r>
    </w:p>
    <w:p w:rsidR="00A22B30" w:rsidRPr="00631AB6" w:rsidRDefault="00631AB6" w:rsidP="00631AB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дотаций на выравнивание обеспеченности поселений</w:t>
      </w:r>
    </w:p>
    <w:bookmarkEnd w:id="0"/>
    <w:p w:rsidR="0043282F" w:rsidRDefault="0043282F" w:rsidP="00631AB6">
      <w:pPr>
        <w:jc w:val="center"/>
        <w:rPr>
          <w:sz w:val="28"/>
          <w:szCs w:val="28"/>
        </w:rPr>
      </w:pPr>
    </w:p>
    <w:p w:rsidR="00DD3840" w:rsidRDefault="00DD3840" w:rsidP="00631AB6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631AB6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27610">
        <w:rPr>
          <w:b/>
          <w:sz w:val="28"/>
          <w:szCs w:val="28"/>
        </w:rPr>
        <w:t>25</w:t>
      </w:r>
      <w:r w:rsidR="00DD372D">
        <w:rPr>
          <w:b/>
          <w:sz w:val="28"/>
          <w:szCs w:val="28"/>
        </w:rPr>
        <w:t xml:space="preserve"> </w:t>
      </w:r>
      <w:r w:rsidR="00C27610">
        <w:rPr>
          <w:b/>
          <w:sz w:val="28"/>
          <w:szCs w:val="28"/>
        </w:rPr>
        <w:t>декабря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631AB6" w:rsidP="00631AB6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 184.2.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</w:t>
      </w:r>
      <w:r w:rsidR="00DD3840" w:rsidRPr="00C27610">
        <w:rPr>
          <w:sz w:val="28"/>
          <w:szCs w:val="28"/>
        </w:rPr>
        <w:t xml:space="preserve">Дума Валдайского муниципального района </w:t>
      </w:r>
      <w:r w:rsidR="00DD3840" w:rsidRPr="00C27610">
        <w:rPr>
          <w:b/>
          <w:sz w:val="28"/>
          <w:szCs w:val="28"/>
        </w:rPr>
        <w:t>РЕШИЛА:</w:t>
      </w:r>
    </w:p>
    <w:p w:rsidR="00631AB6" w:rsidRDefault="00631AB6" w:rsidP="0063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Методику расчёта распределения субвенции между бюджетами поселений из бюджета муниципального района на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вление государственных полномочий по первичному воинскому учёту на территориях, где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сутствуют военные комиссариаты.</w:t>
      </w:r>
    </w:p>
    <w:p w:rsidR="00631AB6" w:rsidRDefault="00631AB6" w:rsidP="0063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прилагаемую Методику расчёта распределения субвенции между бюджетами поселений из бюджета муниципального района по определению перечня должностных лиц, уполномоченных составлять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 об административных правонарушениях, предусмотренных соответствующими статьями областного закона «Об административных правонарушениях».</w:t>
      </w:r>
    </w:p>
    <w:p w:rsidR="00631AB6" w:rsidRPr="003E2D20" w:rsidRDefault="00631AB6" w:rsidP="00631AB6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3. Утвердить прилагаемую Методику расчёта распределения субвенции между поселениями из бюджета муниципального района на </w:t>
      </w:r>
      <w:r w:rsidRPr="00530944">
        <w:rPr>
          <w:sz w:val="28"/>
          <w:szCs w:val="28"/>
        </w:rPr>
        <w:t>возмещение затрат по содержанию штатных единиц, осуществляющих переданные отдельные госуда</w:t>
      </w:r>
      <w:r w:rsidRPr="00530944">
        <w:rPr>
          <w:sz w:val="28"/>
          <w:szCs w:val="28"/>
        </w:rPr>
        <w:t>р</w:t>
      </w:r>
      <w:r w:rsidRPr="00530944">
        <w:rPr>
          <w:sz w:val="28"/>
          <w:szCs w:val="28"/>
        </w:rPr>
        <w:t>ственные полномочия области</w:t>
      </w:r>
      <w:r>
        <w:rPr>
          <w:sz w:val="28"/>
          <w:szCs w:val="28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>
        <w:rPr>
          <w:sz w:val="32"/>
          <w:szCs w:val="32"/>
        </w:rPr>
        <w:t>.</w:t>
      </w:r>
      <w:r w:rsidRPr="00530944">
        <w:rPr>
          <w:sz w:val="28"/>
          <w:szCs w:val="28"/>
        </w:rPr>
        <w:t xml:space="preserve"> </w:t>
      </w:r>
    </w:p>
    <w:p w:rsidR="00631AB6" w:rsidRDefault="00631AB6" w:rsidP="0063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</w:t>
      </w:r>
      <w:r w:rsidRPr="007F2138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прилагаемую методику расчёта дотаций на выравнивание бюджетной обеспеченности поселений.</w:t>
      </w:r>
    </w:p>
    <w:p w:rsidR="00C909E2" w:rsidRDefault="00631AB6" w:rsidP="00271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в бюллетене «Валдайский вестник»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E72C48">
        <w:rPr>
          <w:sz w:val="28"/>
          <w:szCs w:val="28"/>
        </w:rPr>
        <w:t>.</w:t>
      </w: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27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27610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27610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3C4D8E">
              <w:rPr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74E4" w:rsidRDefault="004974E4" w:rsidP="003C4D8E"/>
    <w:sectPr w:rsidR="004974E4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F4" w:rsidRDefault="00C40DF4">
      <w:r>
        <w:separator/>
      </w:r>
    </w:p>
  </w:endnote>
  <w:endnote w:type="continuationSeparator" w:id="0">
    <w:p w:rsidR="00C40DF4" w:rsidRDefault="00C4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F4" w:rsidRDefault="00C40DF4">
      <w:r>
        <w:separator/>
      </w:r>
    </w:p>
  </w:footnote>
  <w:footnote w:type="continuationSeparator" w:id="0">
    <w:p w:rsidR="00C40DF4" w:rsidRDefault="00C4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13E9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3E93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1825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4D8E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1AB6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34FE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0DF4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FB3DD4-735A-4F67-9075-48F5C400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Пользователь</cp:lastModifiedBy>
  <cp:revision>2</cp:revision>
  <cp:lastPrinted>2020-12-22T12:18:00Z</cp:lastPrinted>
  <dcterms:created xsi:type="dcterms:W3CDTF">2020-12-26T05:46:00Z</dcterms:created>
  <dcterms:modified xsi:type="dcterms:W3CDTF">2020-12-26T05:46:00Z</dcterms:modified>
</cp:coreProperties>
</file>