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8D1DC8" w:rsidRDefault="008D1DC8" w:rsidP="008D1DC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на 2017 год коэффициентов,</w:t>
      </w:r>
    </w:p>
    <w:p w:rsidR="008D1DC8" w:rsidRDefault="008D1DC8" w:rsidP="008D1DC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определяемых для различных видов</w:t>
      </w:r>
      <w:r w:rsidRPr="008D1D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функционального</w:t>
      </w:r>
    </w:p>
    <w:p w:rsidR="008D1DC8" w:rsidRDefault="008D1DC8" w:rsidP="008D1DC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использования</w:t>
      </w:r>
      <w:r w:rsidRPr="008D1D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земельных участков, при определении</w:t>
      </w:r>
    </w:p>
    <w:p w:rsidR="008D1DC8" w:rsidRDefault="008D1DC8" w:rsidP="008D1DC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размера арендной платы за земельные участки на</w:t>
      </w:r>
    </w:p>
    <w:p w:rsidR="008D1DC8" w:rsidRDefault="008D1DC8" w:rsidP="008D1DC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 сельских поселений Валдайского</w:t>
      </w:r>
    </w:p>
    <w:p w:rsidR="00022CD9" w:rsidRPr="008D1DC8" w:rsidRDefault="008D1DC8" w:rsidP="008D1DC8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022CD9" w:rsidRDefault="00022CD9" w:rsidP="008D1DC8">
      <w:pPr>
        <w:spacing w:line="240" w:lineRule="exact"/>
        <w:jc w:val="both"/>
        <w:rPr>
          <w:b/>
          <w:sz w:val="28"/>
          <w:szCs w:val="28"/>
        </w:rPr>
      </w:pPr>
    </w:p>
    <w:p w:rsidR="00766A37" w:rsidRDefault="00766A37" w:rsidP="008D1DC8">
      <w:pPr>
        <w:spacing w:line="240" w:lineRule="exact"/>
        <w:jc w:val="both"/>
        <w:rPr>
          <w:b/>
          <w:sz w:val="28"/>
          <w:szCs w:val="28"/>
        </w:rPr>
      </w:pPr>
    </w:p>
    <w:p w:rsidR="00022CD9" w:rsidRPr="008D1DC8" w:rsidRDefault="00022CD9" w:rsidP="004C6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Принято Думой муниципального района </w:t>
      </w:r>
      <w:r w:rsidR="00746EA5">
        <w:rPr>
          <w:b/>
          <w:sz w:val="28"/>
          <w:szCs w:val="28"/>
        </w:rPr>
        <w:t>2</w:t>
      </w:r>
      <w:r w:rsidR="00D07845">
        <w:rPr>
          <w:b/>
          <w:sz w:val="28"/>
          <w:szCs w:val="28"/>
        </w:rPr>
        <w:t>6 января</w:t>
      </w:r>
      <w:r w:rsidR="00746E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D0784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года.</w:t>
      </w:r>
    </w:p>
    <w:p w:rsidR="008D1DC8" w:rsidRDefault="008D1DC8" w:rsidP="008D1DC8">
      <w:pPr>
        <w:spacing w:before="120"/>
        <w:ind w:right="5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Земельным кодексом Российской Федерации,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ральным законом от 25 октября 2001 года N 137-ФЗ "О введении в действие Земельного кодекса Российской Федерации", областным законом от 27.04.2015 № 763-ОЗ «О предоставлении земельных участков на территории Новгородской области», постановлением Правительства Новгородской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сти от 01.03.2016 N 89 «Об утверждении </w:t>
      </w:r>
      <w:hyperlink r:id="rId8" w:history="1">
        <w:r w:rsidRPr="008D1DC8">
          <w:rPr>
            <w:rStyle w:val="a8"/>
            <w:bCs/>
            <w:color w:val="auto"/>
            <w:sz w:val="28"/>
            <w:szCs w:val="28"/>
            <w:u w:val="none"/>
          </w:rPr>
          <w:t>Порядк</w:t>
        </w:r>
      </w:hyperlink>
      <w:r>
        <w:rPr>
          <w:bCs/>
          <w:sz w:val="28"/>
          <w:szCs w:val="28"/>
        </w:rPr>
        <w:t>а определения размера арендной платы за земельные участки, находящиеся в собственности Новг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родской области, и з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мельные участки, государственная собственность на которые не разграничена, предоставленные в аренду без торгов»</w:t>
      </w:r>
      <w:r>
        <w:rPr>
          <w:sz w:val="28"/>
          <w:szCs w:val="28"/>
        </w:rPr>
        <w:t xml:space="preserve"> Дума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 </w:t>
      </w:r>
      <w:r>
        <w:rPr>
          <w:b/>
          <w:sz w:val="28"/>
          <w:szCs w:val="28"/>
        </w:rPr>
        <w:t>РЕШИЛА:</w:t>
      </w:r>
    </w:p>
    <w:p w:rsidR="008D1DC8" w:rsidRDefault="008D1DC8" w:rsidP="008D1D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на 2017год прилагаемые коэффициенты, устанавлива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мые в процентах от кадастровой стоимости земельного участка, определяемые для различных видов функционального использования земельных учас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ков при определении размера арендной платы за земельные участки на террит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рии сельских поселений Валдайского муниципального района для 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мельных участков, находящихся в муниципальной собственности или государс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венная собственность на которые не разграничена. </w:t>
      </w:r>
    </w:p>
    <w:p w:rsidR="008D1DC8" w:rsidRDefault="008D1DC8" w:rsidP="008D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2. Решение вступает в силу с момента опубликования и распростран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ется на правоотношения, возникшие с 01 января.2017 года.</w:t>
      </w:r>
    </w:p>
    <w:p w:rsidR="00022CD9" w:rsidRDefault="008D1DC8" w:rsidP="008D1D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решение в бюллетене «Валдайский Вестник» и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 в сети «Интернет». 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8D1DC8" w:rsidRDefault="008D1DC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D1DC8" w:rsidRDefault="008D1DC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</w:t>
            </w:r>
            <w:r w:rsidR="00D07845">
              <w:rPr>
                <w:color w:val="000000"/>
                <w:sz w:val="28"/>
                <w:szCs w:val="28"/>
              </w:rPr>
              <w:t>6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D07845">
              <w:rPr>
                <w:color w:val="000000"/>
                <w:sz w:val="28"/>
                <w:szCs w:val="28"/>
              </w:rPr>
              <w:t>января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D07845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081E56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A4E47" w:rsidRDefault="000A4E47" w:rsidP="008D1DC8">
      <w:pPr>
        <w:jc w:val="center"/>
      </w:pPr>
    </w:p>
    <w:p w:rsidR="00CA43DD" w:rsidRDefault="00CA43DD" w:rsidP="00CA43DD">
      <w:pPr>
        <w:pStyle w:val="ConsPlusNormal"/>
        <w:ind w:left="4956" w:firstLine="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УТВЕРЖДЕНЫ</w:t>
      </w:r>
    </w:p>
    <w:p w:rsidR="00CA43DD" w:rsidRDefault="00CA43DD" w:rsidP="00CA43DD">
      <w:pPr>
        <w:pStyle w:val="ConsPlusNormal"/>
        <w:ind w:firstLine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решением Думы Валдайского</w:t>
      </w:r>
    </w:p>
    <w:p w:rsidR="00CA43DD" w:rsidRDefault="00CA43DD" w:rsidP="00CA43DD">
      <w:pPr>
        <w:pStyle w:val="ConsPlusNormal"/>
        <w:ind w:firstLine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муниципального района</w:t>
      </w:r>
    </w:p>
    <w:p w:rsidR="00CA43DD" w:rsidRDefault="00CA43DD" w:rsidP="00CA43DD">
      <w:pPr>
        <w:pStyle w:val="ConsPlusNormal"/>
        <w:ind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от 26.01.2017 № </w:t>
      </w:r>
      <w:r w:rsidR="00D8150D">
        <w:rPr>
          <w:rFonts w:ascii="Times New Roman" w:hAnsi="Times New Roman" w:cs="Times New Roman"/>
          <w:sz w:val="24"/>
          <w:szCs w:val="24"/>
        </w:rPr>
        <w:t>110</w:t>
      </w:r>
    </w:p>
    <w:p w:rsidR="00CA43DD" w:rsidRDefault="00CA43DD" w:rsidP="00CA43D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A43DD" w:rsidRDefault="00CA43DD" w:rsidP="00CA43D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A43DD" w:rsidRDefault="00CA43DD" w:rsidP="00CA43D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КОЭФФИЦИЕНТЫ, УСТАНАВЛИВАЕМЫЕ В ПРОЦЕНТАХ </w:t>
      </w:r>
    </w:p>
    <w:p w:rsidR="00CA43DD" w:rsidRDefault="00CA43DD" w:rsidP="00CA43D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КАДАСТРОВОЙ СТОИМОСТИ ЗЕМЕЛЬНЫХ УЧАСТКОВ, </w:t>
      </w:r>
    </w:p>
    <w:p w:rsidR="00CA43DD" w:rsidRDefault="00CA43DD" w:rsidP="00CA43D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ОПРЕДЕЛЯЕМЫЕ ДЛЯ РАЗЛИЧНЫХ ВИДОВ ФУНКЦИОНАЛЬНОГО </w:t>
      </w:r>
    </w:p>
    <w:p w:rsidR="00CA43DD" w:rsidRDefault="00CA43DD" w:rsidP="00CA43D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ЗОВАНИЯ ЗЕМЕЛЬНЫХ УЧАСТКОВ ПРИ ОПРЕДЕЛЕИИИ </w:t>
      </w:r>
    </w:p>
    <w:p w:rsidR="00CA43DD" w:rsidRDefault="00CA43DD" w:rsidP="00CA43D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РАЗМЕРА АРЕНДНОЙ ПЛАТЫ  ЗА ЗЕМЕЛЬНЫЕ УЧАС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КИ </w:t>
      </w:r>
    </w:p>
    <w:p w:rsidR="00CA43DD" w:rsidRDefault="00CA43DD" w:rsidP="00CA43D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СЕЛЬСКИХ ПОСЕЛЕНИЙ ВАЛДАЙСКОГО </w:t>
      </w:r>
    </w:p>
    <w:p w:rsidR="00CA43DD" w:rsidRDefault="00CA43DD" w:rsidP="00CA43D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НОГО РАЙОНА НА 2017 ГОД</w:t>
      </w:r>
    </w:p>
    <w:p w:rsidR="00CA43DD" w:rsidRDefault="00CA43DD" w:rsidP="00CA43D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0"/>
        <w:gridCol w:w="5800"/>
        <w:gridCol w:w="2000"/>
      </w:tblGrid>
      <w:tr w:rsidR="00CA43DD">
        <w:trPr>
          <w:cantSplit/>
          <w:trHeight w:val="840"/>
        </w:trPr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DD" w:rsidRDefault="00CA43DD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Функциональное использование земельных участков, </w:t>
            </w:r>
          </w:p>
          <w:p w:rsidR="00CA43DD" w:rsidRDefault="00CA43DD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DD" w:rsidRDefault="00CA43DD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Коэффиц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ент</w:t>
            </w:r>
            <w:r>
              <w:rPr>
                <w:b/>
                <w:sz w:val="28"/>
                <w:szCs w:val="28"/>
              </w:rPr>
              <w:br/>
              <w:t>(процент от</w:t>
            </w:r>
            <w:r>
              <w:rPr>
                <w:b/>
                <w:sz w:val="28"/>
                <w:szCs w:val="28"/>
              </w:rPr>
              <w:br/>
              <w:t>кадастровой</w:t>
            </w:r>
            <w:r>
              <w:rPr>
                <w:b/>
                <w:sz w:val="28"/>
                <w:szCs w:val="28"/>
              </w:rPr>
              <w:br/>
              <w:t xml:space="preserve">стоимости </w:t>
            </w:r>
            <w:r>
              <w:rPr>
                <w:b/>
                <w:sz w:val="28"/>
                <w:szCs w:val="28"/>
              </w:rPr>
              <w:br/>
              <w:t xml:space="preserve">земельного </w:t>
            </w:r>
            <w:r>
              <w:rPr>
                <w:b/>
                <w:sz w:val="28"/>
                <w:szCs w:val="28"/>
              </w:rPr>
              <w:br/>
              <w:t>участка)</w:t>
            </w:r>
          </w:p>
          <w:p w:rsidR="00CA43DD" w:rsidRDefault="00CA43DD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CA43DD">
        <w:trPr>
          <w:cantSplit/>
          <w:trHeight w:val="480"/>
        </w:trPr>
        <w:tc>
          <w:tcPr>
            <w:tcW w:w="1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DD" w:rsidRDefault="00CA43D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1.Земли   </w:t>
            </w:r>
            <w:r>
              <w:rPr>
                <w:sz w:val="28"/>
                <w:szCs w:val="28"/>
              </w:rPr>
              <w:br/>
              <w:t>населённых</w:t>
            </w:r>
            <w:r>
              <w:rPr>
                <w:sz w:val="28"/>
                <w:szCs w:val="28"/>
              </w:rPr>
              <w:br/>
              <w:t xml:space="preserve">пунктов  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DD" w:rsidRDefault="00CA43D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Личные подсобные хозяйства (приусадебные земельные участки), садоводство, огороднич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ство</w:t>
            </w:r>
          </w:p>
          <w:p w:rsidR="00CA43DD" w:rsidRDefault="00CA43D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CA43DD">
        <w:trPr>
          <w:cantSplit/>
          <w:trHeight w:val="480"/>
        </w:trPr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3DD" w:rsidRDefault="00CA43DD">
            <w:pPr>
              <w:rPr>
                <w:sz w:val="28"/>
                <w:szCs w:val="28"/>
              </w:rPr>
            </w:pP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DD" w:rsidRDefault="00CA43D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 для прочих видов сельск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хозяйственного использования</w:t>
            </w:r>
          </w:p>
          <w:p w:rsidR="00CA43DD" w:rsidRDefault="00CA43D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A43DD">
        <w:trPr>
          <w:cantSplit/>
          <w:trHeight w:val="480"/>
        </w:trPr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3DD" w:rsidRDefault="00CA43DD">
            <w:pPr>
              <w:rPr>
                <w:sz w:val="28"/>
                <w:szCs w:val="28"/>
              </w:rPr>
            </w:pP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DD" w:rsidRDefault="00CA43D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жилищное строительство</w:t>
            </w:r>
          </w:p>
          <w:p w:rsidR="00CA43DD" w:rsidRDefault="00CA43D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CA43DD">
        <w:trPr>
          <w:cantSplit/>
          <w:trHeight w:val="360"/>
        </w:trPr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3DD" w:rsidRDefault="00CA43DD">
            <w:pPr>
              <w:rPr>
                <w:sz w:val="28"/>
                <w:szCs w:val="28"/>
              </w:rPr>
            </w:pP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DD" w:rsidRDefault="00CA43D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размещения индивидуальных гаражей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43DD">
        <w:trPr>
          <w:cantSplit/>
          <w:trHeight w:val="636"/>
        </w:trPr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3DD" w:rsidRDefault="00CA43DD">
            <w:pPr>
              <w:rPr>
                <w:sz w:val="28"/>
                <w:szCs w:val="28"/>
              </w:rPr>
            </w:pP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DD" w:rsidRDefault="00CA43D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предоставленные для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кре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ционных целей, благоустройства</w:t>
            </w:r>
          </w:p>
          <w:p w:rsidR="00CA43DD" w:rsidRDefault="00CA43D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1,5 </w:t>
            </w:r>
          </w:p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CA43DD">
        <w:trPr>
          <w:cantSplit/>
          <w:trHeight w:val="240"/>
        </w:trPr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3DD" w:rsidRDefault="00CA43DD">
            <w:pPr>
              <w:rPr>
                <w:sz w:val="28"/>
                <w:szCs w:val="28"/>
              </w:rPr>
            </w:pP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DD" w:rsidRDefault="00CA43D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Временные сооружения:</w:t>
            </w:r>
          </w:p>
          <w:p w:rsidR="00CA43DD" w:rsidRDefault="00CA43D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киоски, павильоны;</w:t>
            </w:r>
          </w:p>
          <w:p w:rsidR="00CA43DD" w:rsidRDefault="00CA43DD">
            <w:pPr>
              <w:spacing w:line="240" w:lineRule="exact"/>
              <w:rPr>
                <w:sz w:val="28"/>
                <w:szCs w:val="28"/>
              </w:rPr>
            </w:pPr>
          </w:p>
          <w:p w:rsidR="00CA43DD" w:rsidRDefault="00CA43D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рынки</w:t>
            </w:r>
          </w:p>
          <w:p w:rsidR="00CA43DD" w:rsidRDefault="00CA43DD">
            <w:pPr>
              <w:spacing w:line="240" w:lineRule="exact"/>
              <w:rPr>
                <w:sz w:val="28"/>
                <w:szCs w:val="28"/>
              </w:rPr>
            </w:pPr>
          </w:p>
          <w:p w:rsidR="00CA43DD" w:rsidRDefault="00CA43D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малые архитектурные формы для обеспечения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дыха и досуга (аттракционы и др.)</w:t>
            </w:r>
          </w:p>
          <w:p w:rsidR="00CA43DD" w:rsidRDefault="00CA43D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</w:t>
            </w:r>
          </w:p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CA43DD">
        <w:trPr>
          <w:cantSplit/>
          <w:trHeight w:val="240"/>
        </w:trPr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3DD" w:rsidRDefault="00CA43DD">
            <w:pPr>
              <w:rPr>
                <w:sz w:val="28"/>
                <w:szCs w:val="28"/>
              </w:rPr>
            </w:pP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DD" w:rsidRDefault="00CA43D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Стоянки автотранспорта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 </w:t>
            </w:r>
          </w:p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CA43DD">
        <w:trPr>
          <w:cantSplit/>
          <w:trHeight w:val="240"/>
        </w:trPr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3DD" w:rsidRDefault="00CA43DD">
            <w:pPr>
              <w:rPr>
                <w:sz w:val="28"/>
                <w:szCs w:val="28"/>
              </w:rPr>
            </w:pP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DD" w:rsidRDefault="00CA43D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Стоянки автотранспорта (парковки) при го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тиницах, туристических комплексах, базах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дыха для обслуживания личного транспорта отдыхающих и транспорта туристических фирм, а также их проектирование и строител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ство</w:t>
            </w:r>
          </w:p>
          <w:p w:rsidR="00CA43DD" w:rsidRDefault="00CA43D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</w:p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CA43DD">
        <w:trPr>
          <w:cantSplit/>
          <w:trHeight w:val="240"/>
        </w:trPr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3DD" w:rsidRDefault="00CA43DD">
            <w:pPr>
              <w:rPr>
                <w:sz w:val="28"/>
                <w:szCs w:val="28"/>
              </w:rPr>
            </w:pP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DD" w:rsidRDefault="00CA43D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Станции технического обслуживания, авт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мойки,  др. объекты автосервиса, а также их проектиров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 и строительство</w:t>
            </w:r>
          </w:p>
          <w:p w:rsidR="00CA43DD" w:rsidRDefault="00CA43D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3,5 </w:t>
            </w:r>
          </w:p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CA43DD">
        <w:trPr>
          <w:cantSplit/>
          <w:trHeight w:val="240"/>
        </w:trPr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3DD" w:rsidRDefault="00CA43DD">
            <w:pPr>
              <w:rPr>
                <w:sz w:val="28"/>
                <w:szCs w:val="28"/>
              </w:rPr>
            </w:pP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DD" w:rsidRDefault="00CA43D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АЗС, АЗК, комплексы придорожного сервиса, а также их проектирование и строительство</w:t>
            </w:r>
          </w:p>
          <w:p w:rsidR="00CA43DD" w:rsidRDefault="00CA43D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A43DD" w:rsidRDefault="00CA43D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5 </w:t>
            </w:r>
          </w:p>
          <w:p w:rsidR="00CA43DD" w:rsidRDefault="00CA43D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  <w:tr w:rsidR="00CA43DD">
        <w:trPr>
          <w:cantSplit/>
          <w:trHeight w:val="240"/>
        </w:trPr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3DD" w:rsidRDefault="00CA43DD">
            <w:pPr>
              <w:rPr>
                <w:sz w:val="28"/>
                <w:szCs w:val="28"/>
              </w:rPr>
            </w:pP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DD" w:rsidRDefault="00CA43D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многоквартирных жилых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мов      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CA43DD">
        <w:trPr>
          <w:cantSplit/>
          <w:trHeight w:val="360"/>
        </w:trPr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3DD" w:rsidRDefault="00CA43DD">
            <w:pPr>
              <w:rPr>
                <w:sz w:val="28"/>
                <w:szCs w:val="28"/>
              </w:rPr>
            </w:pP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DD" w:rsidRDefault="00CA43D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стационарной торговли, оказание бытовых и платных услуг, а также их проект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рование и строительство</w:t>
            </w:r>
          </w:p>
          <w:p w:rsidR="00CA43DD" w:rsidRDefault="00CA43D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CA43DD">
        <w:trPr>
          <w:cantSplit/>
          <w:trHeight w:val="360"/>
        </w:trPr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3DD" w:rsidRDefault="00CA43DD">
            <w:pPr>
              <w:rPr>
                <w:sz w:val="28"/>
                <w:szCs w:val="28"/>
              </w:rPr>
            </w:pP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DD" w:rsidRDefault="00CA43D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занятые передвижными объектами, обеспечивающими снабжение населения сжиженным баллонным газом</w:t>
            </w:r>
          </w:p>
          <w:p w:rsidR="00CA43DD" w:rsidRDefault="00CA43D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</w:p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CA43DD">
        <w:trPr>
          <w:cantSplit/>
          <w:trHeight w:val="360"/>
        </w:trPr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3DD" w:rsidRDefault="00CA43DD">
            <w:pPr>
              <w:rPr>
                <w:sz w:val="28"/>
                <w:szCs w:val="28"/>
              </w:rPr>
            </w:pP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DD" w:rsidRDefault="00CA43D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 под объектами транспор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ной  инфраструктуры, а также их проектир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 и  строительство (кроме линейных об</w:t>
            </w:r>
            <w:r>
              <w:rPr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>ектов)</w:t>
            </w:r>
          </w:p>
          <w:p w:rsidR="00CA43DD" w:rsidRDefault="00CA43D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A43DD">
        <w:trPr>
          <w:cantSplit/>
          <w:trHeight w:val="360"/>
        </w:trPr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3DD" w:rsidRDefault="00CA43DD">
            <w:pPr>
              <w:rPr>
                <w:sz w:val="28"/>
                <w:szCs w:val="28"/>
              </w:rPr>
            </w:pP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DD" w:rsidRDefault="00CA43D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Гостиницы; дома, базы отдыха; рестораны; кафе, бары, а также их проектирование и  строительство</w:t>
            </w:r>
          </w:p>
          <w:p w:rsidR="00CA43DD" w:rsidRDefault="00CA43D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CA43DD">
        <w:trPr>
          <w:cantSplit/>
          <w:trHeight w:val="360"/>
        </w:trPr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3DD" w:rsidRDefault="00CA43DD">
            <w:pPr>
              <w:rPr>
                <w:sz w:val="28"/>
                <w:szCs w:val="28"/>
              </w:rPr>
            </w:pP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DD" w:rsidRDefault="00CA43D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промышленности, производства 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варов народного потребления, а также их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ектирование и строительство (кроме линейных объектов)</w:t>
            </w:r>
          </w:p>
          <w:p w:rsidR="00CA43DD" w:rsidRDefault="00CA43DD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CA43DD">
        <w:trPr>
          <w:cantSplit/>
          <w:trHeight w:val="360"/>
        </w:trPr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3DD" w:rsidRDefault="00CA43DD">
            <w:pPr>
              <w:rPr>
                <w:sz w:val="28"/>
                <w:szCs w:val="28"/>
              </w:rPr>
            </w:pP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DD" w:rsidRDefault="00CA43D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нежилые объекты, кроме объектов с указанными видами функционального испол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зования земельных участков, а также их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ектирование и строительство</w:t>
            </w:r>
          </w:p>
          <w:p w:rsidR="00CA43DD" w:rsidRDefault="00CA43D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CA43DD">
        <w:trPr>
          <w:cantSplit/>
          <w:trHeight w:val="1002"/>
        </w:trPr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3DD" w:rsidRDefault="00CA43DD">
            <w:pPr>
              <w:rPr>
                <w:sz w:val="28"/>
                <w:szCs w:val="28"/>
              </w:rPr>
            </w:pP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DD" w:rsidRDefault="00CA43DD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Земельные участки, занятые объектами связи, а также их проектирование и строительство (кроме линейных объектов)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CA43DD">
        <w:trPr>
          <w:cantSplit/>
          <w:trHeight w:val="960"/>
        </w:trPr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3DD" w:rsidRDefault="00CA43DD">
            <w:pPr>
              <w:rPr>
                <w:sz w:val="28"/>
                <w:szCs w:val="28"/>
              </w:rPr>
            </w:pP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DD" w:rsidRDefault="00CA43D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занятые объектами 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лищно-коммунального хозяйства, типографий (кроме 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нейных объектов):</w:t>
            </w:r>
          </w:p>
          <w:p w:rsidR="00CA43DD" w:rsidRDefault="00CA43D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объектами банно-прачечного хозяйства, типографий, в сфере водоснабжения и водоо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ведения;</w:t>
            </w:r>
          </w:p>
          <w:p w:rsidR="00CA43DD" w:rsidRDefault="00CA43D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прочими объектами жилищно-коммунального хозяйства</w:t>
            </w:r>
          </w:p>
          <w:p w:rsidR="00CA43DD" w:rsidRDefault="00CA43D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CA43DD">
        <w:trPr>
          <w:cantSplit/>
          <w:trHeight w:val="659"/>
        </w:trPr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3DD" w:rsidRDefault="00CA43DD">
            <w:pPr>
              <w:rPr>
                <w:sz w:val="28"/>
                <w:szCs w:val="28"/>
              </w:rPr>
            </w:pP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DD" w:rsidRDefault="00CA43D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предназначенные для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работки  и добычи полезных ископаемых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A43DD">
        <w:trPr>
          <w:cantSplit/>
          <w:trHeight w:val="742"/>
        </w:trPr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3DD" w:rsidRDefault="00CA43DD">
            <w:pPr>
              <w:rPr>
                <w:sz w:val="28"/>
                <w:szCs w:val="28"/>
              </w:rPr>
            </w:pP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DD" w:rsidRDefault="00CA43D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 функциональное использование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участков для всех категорий арендаторов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CA43DD">
        <w:trPr>
          <w:cantSplit/>
          <w:trHeight w:val="360"/>
        </w:trPr>
        <w:tc>
          <w:tcPr>
            <w:tcW w:w="1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43DD" w:rsidRDefault="00CA43D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2.Земли вне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селённых пун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тов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DD" w:rsidRDefault="00CA43D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промышленности, энергетики, тран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порта, связи, радиовещания, телевидения,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форматики, земли для обеспечения космич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ской деятельности, земли обороны, безопасн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и земли иного спец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ального назначения (кроме линейных объектов)</w:t>
            </w:r>
          </w:p>
          <w:p w:rsidR="00CA43DD" w:rsidRDefault="00CA43D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CA43DD">
        <w:trPr>
          <w:cantSplit/>
          <w:trHeight w:val="440"/>
        </w:trPr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43DD" w:rsidRDefault="00CA43DD">
            <w:pPr>
              <w:rPr>
                <w:sz w:val="28"/>
                <w:szCs w:val="28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DD" w:rsidRDefault="00CA43D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CA43DD">
        <w:trPr>
          <w:cantSplit/>
          <w:trHeight w:val="440"/>
        </w:trPr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43DD" w:rsidRDefault="00CA43DD">
            <w:pPr>
              <w:rPr>
                <w:sz w:val="28"/>
                <w:szCs w:val="28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DD" w:rsidRDefault="00CA43D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сельскохозяйственного назначения для ц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лей, несвязанных с сельскохозяйственным испол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зованием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CA43DD">
        <w:trPr>
          <w:cantSplit/>
          <w:trHeight w:val="720"/>
        </w:trPr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43DD" w:rsidRDefault="00CA43DD">
            <w:pPr>
              <w:rPr>
                <w:sz w:val="28"/>
                <w:szCs w:val="28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DD" w:rsidRDefault="00CA43D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занятые особо охраня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мыми территориями и объектами:</w:t>
            </w:r>
          </w:p>
          <w:p w:rsidR="00CA43DD" w:rsidRDefault="00CA43D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дома, базы отдыха. туристические, оздоров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тельные комплексы, гостиницы, а также их проектир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 и  строительство;</w:t>
            </w:r>
          </w:p>
          <w:p w:rsidR="00CA43DD" w:rsidRDefault="00CA43D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объекты, а также их проектирование и  строительство</w:t>
            </w:r>
          </w:p>
          <w:p w:rsidR="00CA43DD" w:rsidRDefault="00CA43D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CA43DD">
        <w:trPr>
          <w:cantSplit/>
          <w:trHeight w:val="360"/>
        </w:trPr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43DD" w:rsidRDefault="00CA43DD">
            <w:pPr>
              <w:rPr>
                <w:sz w:val="28"/>
                <w:szCs w:val="28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DD" w:rsidRDefault="00CA43D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личного подсобного хозяйства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CA43DD">
        <w:trPr>
          <w:cantSplit/>
          <w:trHeight w:val="360"/>
        </w:trPr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43DD" w:rsidRDefault="00CA43DD">
            <w:pPr>
              <w:rPr>
                <w:sz w:val="28"/>
                <w:szCs w:val="28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DD" w:rsidRDefault="00CA43D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предназначенные для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работки и добычи полезных ископаемых</w:t>
            </w:r>
          </w:p>
          <w:p w:rsidR="00CA43DD" w:rsidRDefault="00CA43D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CA43DD">
        <w:trPr>
          <w:cantSplit/>
          <w:trHeight w:val="929"/>
        </w:trPr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43DD" w:rsidRDefault="00CA43DD">
            <w:pPr>
              <w:rPr>
                <w:sz w:val="28"/>
                <w:szCs w:val="28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DD" w:rsidRDefault="00CA43D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промышленности, а также их прое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вание и строительство (кроме линейных объектов)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CA43DD">
        <w:trPr>
          <w:cantSplit/>
          <w:trHeight w:val="360"/>
        </w:trPr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43DD" w:rsidRDefault="00CA43DD">
            <w:pPr>
              <w:rPr>
                <w:sz w:val="28"/>
                <w:szCs w:val="28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DD" w:rsidRDefault="00CA43D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занятые объектами связи, а также их проектирование и строител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ство(кроме линейных объектов при пер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оформлении права постоянного (бессрочного) пол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зования):</w:t>
            </w:r>
          </w:p>
          <w:p w:rsidR="00CA43DD" w:rsidRDefault="00CA43DD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площадью земельных участков</w:t>
            </w:r>
          </w:p>
          <w:p w:rsidR="00CA43DD" w:rsidRDefault="00CA43DD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300 кв. м"/>
              </w:smartTagPr>
              <w:r>
                <w:rPr>
                  <w:sz w:val="28"/>
                  <w:szCs w:val="28"/>
                </w:rPr>
                <w:t>300 кв. м</w:t>
              </w:r>
            </w:smartTag>
            <w:r>
              <w:rPr>
                <w:sz w:val="28"/>
                <w:szCs w:val="28"/>
              </w:rPr>
              <w:t xml:space="preserve">                            </w:t>
            </w:r>
          </w:p>
          <w:p w:rsidR="00CA43DD" w:rsidRDefault="00CA43DD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площадью земельных участков</w:t>
            </w:r>
          </w:p>
          <w:p w:rsidR="00CA43DD" w:rsidRDefault="00CA43DD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smartTag w:uri="urn:schemas-microsoft-com:office:smarttags" w:element="metricconverter">
              <w:smartTagPr>
                <w:attr w:name="ProductID" w:val="300 кв. м"/>
              </w:smartTagPr>
              <w:r>
                <w:rPr>
                  <w:sz w:val="28"/>
                  <w:szCs w:val="28"/>
                </w:rPr>
                <w:t>300 кв. м</w:t>
              </w:r>
            </w:smartTag>
            <w:r>
              <w:rPr>
                <w:sz w:val="28"/>
                <w:szCs w:val="28"/>
              </w:rPr>
              <w:t xml:space="preserve">         </w:t>
            </w:r>
          </w:p>
          <w:p w:rsidR="00CA43DD" w:rsidRDefault="00CA43DD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</w:p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CA43DD">
        <w:trPr>
          <w:cantSplit/>
          <w:trHeight w:val="360"/>
        </w:trPr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43DD" w:rsidRDefault="00CA43DD">
            <w:pPr>
              <w:rPr>
                <w:sz w:val="28"/>
                <w:szCs w:val="28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DD" w:rsidRDefault="00CA43D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занятые объектами 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лищно-коммунального хозяйства (кроме 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нейных объе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тов):</w:t>
            </w:r>
          </w:p>
          <w:p w:rsidR="00CA43DD" w:rsidRDefault="00CA43D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объектами в сфере водоснабжения и вод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отв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дения;</w:t>
            </w:r>
          </w:p>
          <w:p w:rsidR="00CA43DD" w:rsidRDefault="00CA43D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прочими объектами жилищно-коммунального хозяйства</w:t>
            </w:r>
          </w:p>
          <w:p w:rsidR="00CA43DD" w:rsidRDefault="00CA43DD">
            <w:pPr>
              <w:pStyle w:val="ConsPlusNonformat"/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43DD" w:rsidRDefault="00CA43DD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CA43DD" w:rsidRDefault="00CA43DD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CA43DD" w:rsidRDefault="00CA43DD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CA43DD" w:rsidRDefault="00CA43DD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A43DD" w:rsidRDefault="00CA43DD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CA43DD">
        <w:trPr>
          <w:cantSplit/>
          <w:trHeight w:val="360"/>
        </w:trPr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43DD" w:rsidRDefault="00CA43DD">
            <w:pPr>
              <w:rPr>
                <w:sz w:val="28"/>
                <w:szCs w:val="28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DD" w:rsidRDefault="00CA43D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занятые передвижными объектами, обеспечивающими снабжение населения сжиженным баллонным газом</w:t>
            </w:r>
          </w:p>
          <w:p w:rsidR="00CA43DD" w:rsidRDefault="00CA43D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</w:tr>
      <w:tr w:rsidR="00CA43DD">
        <w:trPr>
          <w:cantSplit/>
          <w:trHeight w:val="360"/>
        </w:trPr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43DD" w:rsidRDefault="00CA43DD">
            <w:pPr>
              <w:rPr>
                <w:sz w:val="28"/>
                <w:szCs w:val="28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DD" w:rsidRDefault="00CA43D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занятые объектами рекр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онного, оздоровительного назначения</w:t>
            </w:r>
          </w:p>
          <w:p w:rsidR="00CA43DD" w:rsidRDefault="00CA43D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</w:tr>
      <w:tr w:rsidR="00CA43DD">
        <w:trPr>
          <w:cantSplit/>
          <w:trHeight w:val="360"/>
        </w:trPr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43DD" w:rsidRDefault="00CA43DD">
            <w:pPr>
              <w:rPr>
                <w:sz w:val="28"/>
                <w:szCs w:val="28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DD" w:rsidRDefault="00CA43D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 под  производственными об</w:t>
            </w:r>
            <w:r>
              <w:rPr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>ектами дорожного строительства, а также их размещение, проектирование и  строител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ство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A43DD" w:rsidRDefault="00CA43D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8D1DC8" w:rsidRDefault="008D1DC8" w:rsidP="00CA43DD">
      <w:pPr>
        <w:jc w:val="both"/>
      </w:pPr>
    </w:p>
    <w:sectPr w:rsidR="008D1DC8" w:rsidSect="008D1DC8">
      <w:headerReference w:type="even" r:id="rId9"/>
      <w:headerReference w:type="default" r:id="rId10"/>
      <w:pgSz w:w="11906" w:h="16838"/>
      <w:pgMar w:top="1134" w:right="567" w:bottom="113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17" w:rsidRDefault="00300017">
      <w:r>
        <w:separator/>
      </w:r>
    </w:p>
  </w:endnote>
  <w:endnote w:type="continuationSeparator" w:id="0">
    <w:p w:rsidR="00300017" w:rsidRDefault="00300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17" w:rsidRDefault="00300017">
      <w:r>
        <w:separator/>
      </w:r>
    </w:p>
  </w:footnote>
  <w:footnote w:type="continuationSeparator" w:id="0">
    <w:p w:rsidR="00300017" w:rsidRDefault="00300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661BC2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1E56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017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2B4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1BC2"/>
    <w:rsid w:val="006646E4"/>
    <w:rsid w:val="0067340A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C42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1DC8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43D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07845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150D"/>
    <w:rsid w:val="00D830A6"/>
    <w:rsid w:val="00D8343E"/>
    <w:rsid w:val="00D838A4"/>
    <w:rsid w:val="00D8775D"/>
    <w:rsid w:val="00D87F5B"/>
    <w:rsid w:val="00D963E9"/>
    <w:rsid w:val="00DA048D"/>
    <w:rsid w:val="00DA796A"/>
    <w:rsid w:val="00DB0EAE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1E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96AFA89B43204CB23AE428AEC647C1452F92E9D83147073CF24040B74AC13467B0284891B978B79DA1BBtEnF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7117</CharactersWithSpaces>
  <SharedDoc>false</SharedDoc>
  <HLinks>
    <vt:vector size="6" baseType="variant">
      <vt:variant>
        <vt:i4>6160388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consultantplus://offline/ref=0B96AFA89B43204CB23AE428AEC647C1452F92E9D83147073CF24040B74AC13467B0284891B978B79DA1BBtEnFM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2017-01-26T06:53:00Z</cp:lastPrinted>
  <dcterms:created xsi:type="dcterms:W3CDTF">2017-01-26T13:33:00Z</dcterms:created>
  <dcterms:modified xsi:type="dcterms:W3CDTF">2017-01-26T13:33:00Z</dcterms:modified>
</cp:coreProperties>
</file>