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573AB">
        <w:rPr>
          <w:color w:val="000000"/>
          <w:sz w:val="28"/>
        </w:rPr>
        <w:t>21.07.2016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A573AB">
        <w:rPr>
          <w:color w:val="000000"/>
          <w:sz w:val="28"/>
        </w:rPr>
        <w:t>1220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 xml:space="preserve">О проведении общественных обсуждений </w:t>
      </w:r>
    </w:p>
    <w:p w:rsid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 xml:space="preserve">(в форме слушаний) проектной документации </w:t>
      </w:r>
    </w:p>
    <w:p w:rsid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 xml:space="preserve">«Мероприятия по охране окружающей среды», </w:t>
      </w:r>
    </w:p>
    <w:p w:rsid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 xml:space="preserve">включая «Оценку воздействия на окружающую </w:t>
      </w:r>
    </w:p>
    <w:p w:rsid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 xml:space="preserve">среду» объекта экспертизы «Реконструкция </w:t>
      </w:r>
    </w:p>
    <w:p w:rsidR="00A573AB" w:rsidRPr="00A573AB" w:rsidRDefault="00A573AB" w:rsidP="00A573AB">
      <w:pPr>
        <w:spacing w:line="240" w:lineRule="exact"/>
        <w:ind w:right="57"/>
        <w:jc w:val="center"/>
        <w:rPr>
          <w:b/>
          <w:sz w:val="28"/>
          <w:szCs w:val="28"/>
        </w:rPr>
      </w:pPr>
      <w:r w:rsidRPr="00A573AB">
        <w:rPr>
          <w:b/>
          <w:sz w:val="28"/>
          <w:szCs w:val="28"/>
        </w:rPr>
        <w:t>ГРС «Валдай», Новгородская о</w:t>
      </w:r>
      <w:r w:rsidRPr="00A573AB">
        <w:rPr>
          <w:b/>
          <w:sz w:val="28"/>
          <w:szCs w:val="28"/>
        </w:rPr>
        <w:t>б</w:t>
      </w:r>
      <w:r w:rsidRPr="00A573AB">
        <w:rPr>
          <w:b/>
          <w:sz w:val="28"/>
          <w:szCs w:val="28"/>
        </w:rPr>
        <w:t>ласть»</w:t>
      </w:r>
    </w:p>
    <w:p w:rsidR="00A573AB" w:rsidRDefault="00A573AB" w:rsidP="00A573AB">
      <w:pPr>
        <w:ind w:right="3260" w:firstLine="697"/>
        <w:jc w:val="both"/>
        <w:rPr>
          <w:sz w:val="28"/>
          <w:szCs w:val="28"/>
        </w:rPr>
      </w:pPr>
    </w:p>
    <w:p w:rsidR="00A573AB" w:rsidRPr="00A573AB" w:rsidRDefault="00A573AB" w:rsidP="00A573AB">
      <w:pPr>
        <w:ind w:right="3260" w:firstLine="697"/>
        <w:jc w:val="both"/>
        <w:rPr>
          <w:sz w:val="28"/>
          <w:szCs w:val="28"/>
        </w:rPr>
      </w:pPr>
    </w:p>
    <w:p w:rsidR="00A573AB" w:rsidRPr="00A573AB" w:rsidRDefault="00A573AB" w:rsidP="00A573AB">
      <w:pPr>
        <w:ind w:right="-1" w:firstLine="697"/>
        <w:jc w:val="both"/>
        <w:rPr>
          <w:b/>
          <w:sz w:val="28"/>
          <w:szCs w:val="28"/>
        </w:rPr>
      </w:pPr>
      <w:r w:rsidRPr="00A573A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A573AB">
        <w:rPr>
          <w:sz w:val="28"/>
          <w:szCs w:val="28"/>
        </w:rPr>
        <w:t xml:space="preserve">едеральными законами от 6 октября 2003 года </w:t>
      </w:r>
      <w:r>
        <w:rPr>
          <w:sz w:val="28"/>
          <w:szCs w:val="28"/>
        </w:rPr>
        <w:br/>
      </w:r>
      <w:r w:rsidRPr="00A573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73AB">
        <w:rPr>
          <w:sz w:val="28"/>
          <w:szCs w:val="28"/>
        </w:rPr>
        <w:t>131-ФЗ «Об общих принципах организации местного самоуправления в Российской Федерации», от 23 ноября 1995 года № 174-ФЗ «Об экологич</w:t>
      </w:r>
      <w:r w:rsidRPr="00A573AB">
        <w:rPr>
          <w:sz w:val="28"/>
          <w:szCs w:val="28"/>
        </w:rPr>
        <w:t>е</w:t>
      </w:r>
      <w:r w:rsidRPr="00A573AB">
        <w:rPr>
          <w:sz w:val="28"/>
          <w:szCs w:val="28"/>
        </w:rPr>
        <w:t>ской экспертизе», Положением об оценке воздействия намечаемой хозя</w:t>
      </w:r>
      <w:r w:rsidRPr="00A573AB">
        <w:rPr>
          <w:sz w:val="28"/>
          <w:szCs w:val="28"/>
        </w:rPr>
        <w:t>й</w:t>
      </w:r>
      <w:r w:rsidRPr="00A573AB">
        <w:rPr>
          <w:sz w:val="28"/>
          <w:szCs w:val="28"/>
        </w:rPr>
        <w:t>ственной и иной деятельности на окружающую среде в Российской Федер</w:t>
      </w:r>
      <w:r w:rsidRPr="00A573AB">
        <w:rPr>
          <w:sz w:val="28"/>
          <w:szCs w:val="28"/>
        </w:rPr>
        <w:t>а</w:t>
      </w:r>
      <w:r w:rsidRPr="00A573AB">
        <w:rPr>
          <w:sz w:val="28"/>
          <w:szCs w:val="28"/>
        </w:rPr>
        <w:t>ции, утвержденным приказом Государственного комитета Российской Фед</w:t>
      </w:r>
      <w:r w:rsidRPr="00A573AB">
        <w:rPr>
          <w:sz w:val="28"/>
          <w:szCs w:val="28"/>
        </w:rPr>
        <w:t>е</w:t>
      </w:r>
      <w:r w:rsidRPr="00A573AB">
        <w:rPr>
          <w:sz w:val="28"/>
          <w:szCs w:val="28"/>
        </w:rPr>
        <w:t>рации по охране окружающей среды от 16 мая 2000 года № 372, на основ</w:t>
      </w:r>
      <w:r w:rsidRPr="00A573AB">
        <w:rPr>
          <w:sz w:val="28"/>
          <w:szCs w:val="28"/>
        </w:rPr>
        <w:t>а</w:t>
      </w:r>
      <w:r w:rsidRPr="00A573AB">
        <w:rPr>
          <w:sz w:val="28"/>
          <w:szCs w:val="28"/>
        </w:rPr>
        <w:t>нии заявления ЗАО «Проектнефтегаз», адрес: Санкт-Петербург, В.О. 7-я л</w:t>
      </w:r>
      <w:r w:rsidRPr="00A573AB">
        <w:rPr>
          <w:sz w:val="28"/>
          <w:szCs w:val="28"/>
        </w:rPr>
        <w:t>и</w:t>
      </w:r>
      <w:r w:rsidRPr="00A573AB">
        <w:rPr>
          <w:sz w:val="28"/>
          <w:szCs w:val="28"/>
        </w:rPr>
        <w:t>ния, д.76, лит. А,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A573AB">
        <w:rPr>
          <w:b/>
          <w:sz w:val="28"/>
          <w:szCs w:val="28"/>
        </w:rPr>
        <w:t>П</w:t>
      </w:r>
      <w:r w:rsidRPr="00A573AB">
        <w:rPr>
          <w:b/>
          <w:sz w:val="28"/>
          <w:szCs w:val="28"/>
        </w:rPr>
        <w:t>О</w:t>
      </w:r>
      <w:r w:rsidRPr="00A573AB">
        <w:rPr>
          <w:b/>
          <w:sz w:val="28"/>
          <w:szCs w:val="28"/>
        </w:rPr>
        <w:t>СТАНО</w:t>
      </w:r>
      <w:r w:rsidRPr="00A573AB">
        <w:rPr>
          <w:b/>
          <w:sz w:val="28"/>
          <w:szCs w:val="28"/>
        </w:rPr>
        <w:t>В</w:t>
      </w:r>
      <w:r w:rsidRPr="00A573AB">
        <w:rPr>
          <w:b/>
          <w:sz w:val="28"/>
          <w:szCs w:val="28"/>
        </w:rPr>
        <w:t>ЛЯЕТ:</w:t>
      </w:r>
    </w:p>
    <w:p w:rsidR="00A573AB" w:rsidRPr="00A573AB" w:rsidRDefault="00A573AB" w:rsidP="00A573AB">
      <w:pPr>
        <w:ind w:right="-1" w:firstLine="697"/>
        <w:jc w:val="both"/>
        <w:rPr>
          <w:sz w:val="28"/>
          <w:szCs w:val="28"/>
        </w:rPr>
      </w:pPr>
      <w:r w:rsidRPr="00A573AB">
        <w:rPr>
          <w:sz w:val="28"/>
          <w:szCs w:val="28"/>
        </w:rPr>
        <w:t>1. Организовать с 30 июля 2016 года общественные обсуждения (в форме слушаний) проектной документации «Мероприятия по охране окр</w:t>
      </w:r>
      <w:r w:rsidRPr="00A573AB">
        <w:rPr>
          <w:sz w:val="28"/>
          <w:szCs w:val="28"/>
        </w:rPr>
        <w:t>у</w:t>
      </w:r>
      <w:r w:rsidRPr="00A573AB">
        <w:rPr>
          <w:sz w:val="28"/>
          <w:szCs w:val="28"/>
        </w:rPr>
        <w:t>жающей среды», включая «Оценку воздействия на окружающую среду» об</w:t>
      </w:r>
      <w:r w:rsidRPr="00A573AB">
        <w:rPr>
          <w:sz w:val="28"/>
          <w:szCs w:val="28"/>
        </w:rPr>
        <w:t>ъ</w:t>
      </w:r>
      <w:r w:rsidRPr="00A573AB">
        <w:rPr>
          <w:sz w:val="28"/>
          <w:szCs w:val="28"/>
        </w:rPr>
        <w:t>екта экспертизы «Реконструкция ГРС «Валдай», Новгородская область», предусматривающего реконструкцию объекта на особо охраняемой приро</w:t>
      </w:r>
      <w:r w:rsidRPr="00A573AB">
        <w:rPr>
          <w:sz w:val="28"/>
          <w:szCs w:val="28"/>
        </w:rPr>
        <w:t>д</w:t>
      </w:r>
      <w:r w:rsidRPr="00A573AB">
        <w:rPr>
          <w:sz w:val="28"/>
          <w:szCs w:val="28"/>
        </w:rPr>
        <w:t>ной территории федерального значения</w:t>
      </w:r>
      <w:r>
        <w:rPr>
          <w:sz w:val="28"/>
          <w:szCs w:val="28"/>
        </w:rPr>
        <w:t xml:space="preserve"> – </w:t>
      </w:r>
      <w:r w:rsidRPr="00A573AB">
        <w:rPr>
          <w:sz w:val="28"/>
          <w:szCs w:val="28"/>
        </w:rPr>
        <w:t>национального парка «Валда</w:t>
      </w:r>
      <w:r w:rsidRPr="00A573AB">
        <w:rPr>
          <w:sz w:val="28"/>
          <w:szCs w:val="28"/>
        </w:rPr>
        <w:t>й</w:t>
      </w:r>
      <w:r w:rsidRPr="00A573AB">
        <w:rPr>
          <w:sz w:val="28"/>
          <w:szCs w:val="28"/>
        </w:rPr>
        <w:t>ский» в гран</w:t>
      </w:r>
      <w:r w:rsidRPr="00A573AB">
        <w:rPr>
          <w:sz w:val="28"/>
          <w:szCs w:val="28"/>
        </w:rPr>
        <w:t>и</w:t>
      </w:r>
      <w:r w:rsidRPr="00A573AB">
        <w:rPr>
          <w:sz w:val="28"/>
          <w:szCs w:val="28"/>
        </w:rPr>
        <w:t xml:space="preserve">цах Валдайского муниципального района. </w:t>
      </w:r>
    </w:p>
    <w:p w:rsidR="00A573AB" w:rsidRPr="00A573AB" w:rsidRDefault="00A573AB" w:rsidP="00A573AB">
      <w:pPr>
        <w:ind w:right="-1" w:firstLine="697"/>
        <w:jc w:val="both"/>
        <w:rPr>
          <w:sz w:val="28"/>
          <w:szCs w:val="28"/>
        </w:rPr>
      </w:pPr>
      <w:r w:rsidRPr="00A573AB">
        <w:rPr>
          <w:sz w:val="28"/>
          <w:szCs w:val="28"/>
        </w:rPr>
        <w:t>2. Назначить на 30 августа 2016 года в 15.00 часов проведение общ</w:t>
      </w:r>
      <w:r w:rsidRPr="00A573AB">
        <w:rPr>
          <w:sz w:val="28"/>
          <w:szCs w:val="28"/>
        </w:rPr>
        <w:t>е</w:t>
      </w:r>
      <w:r w:rsidRPr="00A573AB">
        <w:rPr>
          <w:sz w:val="28"/>
          <w:szCs w:val="28"/>
        </w:rPr>
        <w:t>ственных обсуждений (в форме слушаний) проектной документации «Мер</w:t>
      </w:r>
      <w:r w:rsidRPr="00A573AB">
        <w:rPr>
          <w:sz w:val="28"/>
          <w:szCs w:val="28"/>
        </w:rPr>
        <w:t>о</w:t>
      </w:r>
      <w:r w:rsidRPr="00A573AB">
        <w:rPr>
          <w:sz w:val="28"/>
          <w:szCs w:val="28"/>
        </w:rPr>
        <w:t>приятия по охране окружающей среды», включая «Оценку воздействия на окружающую среду» объекта экспертизы «Реконструкция ГРС «Валдай», Новгородская область» по адресу: Новгородская область, г.Валдай, пр.Комсомольский, д.19/21, каб.408.</w:t>
      </w:r>
    </w:p>
    <w:p w:rsidR="00A573AB" w:rsidRPr="00A573AB" w:rsidRDefault="00A573AB" w:rsidP="00A573AB">
      <w:pPr>
        <w:ind w:right="-1" w:firstLine="697"/>
        <w:jc w:val="both"/>
        <w:rPr>
          <w:sz w:val="28"/>
          <w:szCs w:val="28"/>
        </w:rPr>
      </w:pPr>
      <w:r w:rsidRPr="00A573AB">
        <w:rPr>
          <w:sz w:val="28"/>
          <w:szCs w:val="28"/>
        </w:rPr>
        <w:t>3. Создать комиссию по проведению общественных обсуждений (в форме слушаний) проектной документации «Мероприятия по охране окр</w:t>
      </w:r>
      <w:r w:rsidRPr="00A573AB">
        <w:rPr>
          <w:sz w:val="28"/>
          <w:szCs w:val="28"/>
        </w:rPr>
        <w:t>у</w:t>
      </w:r>
      <w:r w:rsidRPr="00A573AB">
        <w:rPr>
          <w:sz w:val="28"/>
          <w:szCs w:val="28"/>
        </w:rPr>
        <w:t>жающей среды», включая «Оценку воздействия на окружающую среду» об</w:t>
      </w:r>
      <w:r w:rsidRPr="00A573AB">
        <w:rPr>
          <w:sz w:val="28"/>
          <w:szCs w:val="28"/>
        </w:rPr>
        <w:t>ъ</w:t>
      </w:r>
      <w:r w:rsidRPr="00A573AB">
        <w:rPr>
          <w:sz w:val="28"/>
          <w:szCs w:val="28"/>
        </w:rPr>
        <w:t xml:space="preserve">екта экспертизы «Реконструкция ГРС «Валдай», Новгородская область» </w:t>
      </w:r>
      <w:r>
        <w:rPr>
          <w:sz w:val="28"/>
          <w:szCs w:val="28"/>
        </w:rPr>
        <w:t>и утвердить ее состав</w:t>
      </w:r>
      <w:r w:rsidRPr="00A573AB">
        <w:rPr>
          <w:sz w:val="28"/>
          <w:szCs w:val="28"/>
        </w:rPr>
        <w:t xml:space="preserve">. </w:t>
      </w:r>
    </w:p>
    <w:p w:rsidR="00A573AB" w:rsidRPr="00A573AB" w:rsidRDefault="00A573AB" w:rsidP="00A573AB">
      <w:pPr>
        <w:numPr>
          <w:ilvl w:val="0"/>
          <w:numId w:val="7"/>
        </w:numPr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3AB">
        <w:rPr>
          <w:sz w:val="28"/>
          <w:szCs w:val="28"/>
        </w:rPr>
        <w:t>Проведение общественных обсуждений (в форме слушаний) проек</w:t>
      </w:r>
      <w:r w:rsidRPr="00A573AB">
        <w:rPr>
          <w:sz w:val="28"/>
          <w:szCs w:val="28"/>
        </w:rPr>
        <w:t>т</w:t>
      </w:r>
      <w:r w:rsidRPr="00A573AB">
        <w:rPr>
          <w:sz w:val="28"/>
          <w:szCs w:val="28"/>
        </w:rPr>
        <w:t>ной докуме</w:t>
      </w:r>
      <w:r w:rsidRPr="00A573AB">
        <w:rPr>
          <w:sz w:val="28"/>
          <w:szCs w:val="28"/>
        </w:rPr>
        <w:t>н</w:t>
      </w:r>
      <w:r w:rsidRPr="00A573AB">
        <w:rPr>
          <w:sz w:val="28"/>
          <w:szCs w:val="28"/>
        </w:rPr>
        <w:t xml:space="preserve">тации «Мероприятия по охране окружающей среды», включая </w:t>
      </w:r>
      <w:r w:rsidRPr="00A573AB">
        <w:rPr>
          <w:sz w:val="28"/>
          <w:szCs w:val="28"/>
        </w:rPr>
        <w:lastRenderedPageBreak/>
        <w:t>«Оценку воздействия на окружающую среду» объекта экспертизы «Реко</w:t>
      </w:r>
      <w:r w:rsidRPr="00A573AB">
        <w:rPr>
          <w:sz w:val="28"/>
          <w:szCs w:val="28"/>
        </w:rPr>
        <w:t>н</w:t>
      </w:r>
      <w:r w:rsidRPr="00A573AB">
        <w:rPr>
          <w:sz w:val="28"/>
          <w:szCs w:val="28"/>
        </w:rPr>
        <w:t>струкция ГРС «Валдай», Новгородская область» поручить комиссии, указа</w:t>
      </w:r>
      <w:r w:rsidRPr="00A573AB">
        <w:rPr>
          <w:sz w:val="28"/>
          <w:szCs w:val="28"/>
        </w:rPr>
        <w:t>н</w:t>
      </w:r>
      <w:r w:rsidRPr="00A573AB">
        <w:rPr>
          <w:sz w:val="28"/>
          <w:szCs w:val="28"/>
        </w:rPr>
        <w:t>ной в пункте 3 постановления.</w:t>
      </w:r>
    </w:p>
    <w:p w:rsidR="00A573AB" w:rsidRPr="00A573AB" w:rsidRDefault="00A573AB" w:rsidP="00A573AB">
      <w:pPr>
        <w:numPr>
          <w:ilvl w:val="0"/>
          <w:numId w:val="7"/>
        </w:numPr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3AB">
        <w:rPr>
          <w:sz w:val="28"/>
          <w:szCs w:val="28"/>
        </w:rPr>
        <w:t>ЗАО «Проектнефтегаз» обеспечить:</w:t>
      </w:r>
    </w:p>
    <w:p w:rsidR="00A573AB" w:rsidRPr="00A573AB" w:rsidRDefault="00A573AB" w:rsidP="00A573AB">
      <w:pPr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573AB">
        <w:rPr>
          <w:sz w:val="28"/>
          <w:szCs w:val="28"/>
        </w:rPr>
        <w:t>Информирование общественности и других участников проектной документации «Мероприятия по охране окружающей среды», включая «Оценку воздействия на окружающую среду» объекта экспертизы «Реко</w:t>
      </w:r>
      <w:r w:rsidRPr="00A573AB">
        <w:rPr>
          <w:sz w:val="28"/>
          <w:szCs w:val="28"/>
        </w:rPr>
        <w:t>н</w:t>
      </w:r>
      <w:r w:rsidRPr="00A573AB">
        <w:rPr>
          <w:sz w:val="28"/>
          <w:szCs w:val="28"/>
        </w:rPr>
        <w:t>струкция ГРС «Валдай», Новгородская область», посредством опубликов</w:t>
      </w:r>
      <w:r w:rsidRPr="00A573AB">
        <w:rPr>
          <w:sz w:val="28"/>
          <w:szCs w:val="28"/>
        </w:rPr>
        <w:t>а</w:t>
      </w:r>
      <w:r w:rsidRPr="00A573AB">
        <w:rPr>
          <w:sz w:val="28"/>
          <w:szCs w:val="28"/>
        </w:rPr>
        <w:t>ния соответствующей информации в официальных изданиях и других сре</w:t>
      </w:r>
      <w:r w:rsidRPr="00A573AB">
        <w:rPr>
          <w:sz w:val="28"/>
          <w:szCs w:val="28"/>
        </w:rPr>
        <w:t>д</w:t>
      </w:r>
      <w:r w:rsidRPr="00A573AB">
        <w:rPr>
          <w:sz w:val="28"/>
          <w:szCs w:val="28"/>
        </w:rPr>
        <w:t>ствах масс</w:t>
      </w:r>
      <w:r w:rsidRPr="00A573AB">
        <w:rPr>
          <w:sz w:val="28"/>
          <w:szCs w:val="28"/>
        </w:rPr>
        <w:t>о</w:t>
      </w:r>
      <w:r w:rsidRPr="00A573AB">
        <w:rPr>
          <w:sz w:val="28"/>
          <w:szCs w:val="28"/>
        </w:rPr>
        <w:t>вой информации</w:t>
      </w:r>
      <w:r w:rsidR="007602F7">
        <w:rPr>
          <w:sz w:val="28"/>
          <w:szCs w:val="28"/>
        </w:rPr>
        <w:t>;</w:t>
      </w:r>
    </w:p>
    <w:p w:rsidR="00A573AB" w:rsidRPr="00A573AB" w:rsidRDefault="00A573AB" w:rsidP="00A573AB">
      <w:pPr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573AB">
        <w:rPr>
          <w:sz w:val="28"/>
          <w:szCs w:val="28"/>
        </w:rPr>
        <w:t>В течении 30 дней со дня опубликования информации о намеча</w:t>
      </w:r>
      <w:r w:rsidRPr="00A573AB">
        <w:rPr>
          <w:sz w:val="28"/>
          <w:szCs w:val="28"/>
        </w:rPr>
        <w:t>е</w:t>
      </w:r>
      <w:r w:rsidRPr="00A573AB">
        <w:rPr>
          <w:sz w:val="28"/>
          <w:szCs w:val="28"/>
        </w:rPr>
        <w:t>мой деятельности обеспечить прием и документирование замечаний и пре</w:t>
      </w:r>
      <w:r w:rsidRPr="00A573AB">
        <w:rPr>
          <w:sz w:val="28"/>
          <w:szCs w:val="28"/>
        </w:rPr>
        <w:t>д</w:t>
      </w:r>
      <w:r w:rsidRPr="00A573AB">
        <w:rPr>
          <w:sz w:val="28"/>
          <w:szCs w:val="28"/>
        </w:rPr>
        <w:t>лож</w:t>
      </w:r>
      <w:r w:rsidRPr="00A573AB">
        <w:rPr>
          <w:sz w:val="28"/>
          <w:szCs w:val="28"/>
        </w:rPr>
        <w:t>е</w:t>
      </w:r>
      <w:r w:rsidRPr="00A573AB">
        <w:rPr>
          <w:sz w:val="28"/>
          <w:szCs w:val="28"/>
        </w:rPr>
        <w:t>ний от общественности по проектной документации «Мероприятия по охране о</w:t>
      </w:r>
      <w:r w:rsidRPr="00A573AB">
        <w:rPr>
          <w:sz w:val="28"/>
          <w:szCs w:val="28"/>
        </w:rPr>
        <w:t>к</w:t>
      </w:r>
      <w:r w:rsidRPr="00A573AB">
        <w:rPr>
          <w:sz w:val="28"/>
          <w:szCs w:val="28"/>
        </w:rPr>
        <w:t>ружающей среды», включая «Оценку воздействия на окружающую среду» объекта экспертизы «Реконструкция ГРС «Валдай», Новгородская о</w:t>
      </w:r>
      <w:r w:rsidRPr="00A573AB">
        <w:rPr>
          <w:sz w:val="28"/>
          <w:szCs w:val="28"/>
        </w:rPr>
        <w:t>б</w:t>
      </w:r>
      <w:r w:rsidRPr="00A573AB">
        <w:rPr>
          <w:sz w:val="28"/>
          <w:szCs w:val="28"/>
        </w:rPr>
        <w:t>ласть».</w:t>
      </w:r>
    </w:p>
    <w:p w:rsidR="00A573AB" w:rsidRPr="00A573AB" w:rsidRDefault="00895DBA" w:rsidP="00895DBA">
      <w:pPr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73AB" w:rsidRPr="00A573AB">
        <w:rPr>
          <w:sz w:val="28"/>
          <w:szCs w:val="28"/>
        </w:rPr>
        <w:t>Контроль за выполнением постановления оставляю за с</w:t>
      </w:r>
      <w:r w:rsidR="00A573AB" w:rsidRPr="00A573AB">
        <w:rPr>
          <w:sz w:val="28"/>
          <w:szCs w:val="28"/>
        </w:rPr>
        <w:t>о</w:t>
      </w:r>
      <w:r w:rsidR="00A573AB" w:rsidRPr="00A573AB">
        <w:rPr>
          <w:sz w:val="28"/>
          <w:szCs w:val="28"/>
        </w:rPr>
        <w:t>бой.</w:t>
      </w:r>
    </w:p>
    <w:p w:rsidR="00895DBA" w:rsidRPr="00A573AB" w:rsidRDefault="00895DBA" w:rsidP="00895DBA">
      <w:pPr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постановление в </w:t>
      </w:r>
      <w:r w:rsidRPr="00A573AB">
        <w:rPr>
          <w:sz w:val="28"/>
          <w:szCs w:val="28"/>
        </w:rPr>
        <w:t>бюллетене «Валдайский Вестник»</w:t>
      </w:r>
      <w:r>
        <w:rPr>
          <w:sz w:val="28"/>
          <w:szCs w:val="28"/>
        </w:rPr>
        <w:t xml:space="preserve"> и </w:t>
      </w:r>
      <w:r w:rsidRPr="00A573A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</w:t>
      </w:r>
      <w:r w:rsidRPr="00A573AB">
        <w:rPr>
          <w:sz w:val="28"/>
          <w:szCs w:val="28"/>
        </w:rPr>
        <w:t>дминистрации Валдайского муниципал</w:t>
      </w:r>
      <w:r w:rsidRPr="00A573AB">
        <w:rPr>
          <w:sz w:val="28"/>
          <w:szCs w:val="28"/>
        </w:rPr>
        <w:t>ь</w:t>
      </w:r>
      <w:r w:rsidRPr="00A573AB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в сети «Интернет»</w:t>
      </w:r>
      <w:r w:rsidRPr="00A573AB">
        <w:rPr>
          <w:sz w:val="28"/>
          <w:szCs w:val="28"/>
        </w:rPr>
        <w:t>.</w:t>
      </w:r>
    </w:p>
    <w:p w:rsidR="00B33A23" w:rsidRPr="00A573AB" w:rsidRDefault="00895DBA" w:rsidP="00895DBA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="00A573AB" w:rsidRPr="00A573AB">
        <w:rPr>
          <w:sz w:val="28"/>
          <w:szCs w:val="28"/>
        </w:rPr>
        <w:t>Постановление вступает в силу со дня его официального опублик</w:t>
      </w:r>
      <w:r w:rsidR="00A573AB" w:rsidRPr="00A573AB">
        <w:rPr>
          <w:sz w:val="28"/>
          <w:szCs w:val="28"/>
        </w:rPr>
        <w:t>о</w:t>
      </w:r>
      <w:r w:rsidR="00A573AB" w:rsidRPr="00A573AB">
        <w:rPr>
          <w:sz w:val="28"/>
          <w:szCs w:val="28"/>
        </w:rPr>
        <w:t>вания.</w:t>
      </w:r>
    </w:p>
    <w:p w:rsidR="006F7488" w:rsidRPr="00A573AB" w:rsidRDefault="00A573AB" w:rsidP="00A573AB">
      <w:pPr>
        <w:tabs>
          <w:tab w:val="left" w:pos="321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7488" w:rsidRPr="00A573AB" w:rsidRDefault="006F7488" w:rsidP="00A573AB">
      <w:pPr>
        <w:ind w:firstLine="697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BA" w:rsidRPr="001F273D" w:rsidRDefault="00895DBA" w:rsidP="00895DBA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r w:rsidRPr="001F273D">
        <w:rPr>
          <w:sz w:val="24"/>
          <w:szCs w:val="24"/>
        </w:rPr>
        <w:t>УТВЕРЖДЁН</w:t>
      </w:r>
    </w:p>
    <w:p w:rsidR="00895DBA" w:rsidRPr="001F273D" w:rsidRDefault="00895DBA" w:rsidP="00895DBA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постановлением Администрации</w:t>
      </w:r>
    </w:p>
    <w:p w:rsidR="00895DBA" w:rsidRPr="001F273D" w:rsidRDefault="00895DBA" w:rsidP="00895DBA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муниципального района</w:t>
      </w:r>
    </w:p>
    <w:p w:rsidR="00895DBA" w:rsidRDefault="00895DBA" w:rsidP="00895DBA">
      <w:pPr>
        <w:spacing w:line="240" w:lineRule="exact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1F273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F273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F273D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1220</w:t>
      </w:r>
    </w:p>
    <w:p w:rsidR="00895DBA" w:rsidRDefault="00895DB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117D2A" w:rsidP="00895DBA">
      <w:pPr>
        <w:spacing w:line="240" w:lineRule="exact"/>
        <w:jc w:val="both"/>
        <w:rPr>
          <w:b/>
          <w:sz w:val="28"/>
          <w:szCs w:val="28"/>
        </w:rPr>
      </w:pPr>
    </w:p>
    <w:p w:rsidR="00895DBA" w:rsidRP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Состав комиссии</w:t>
      </w:r>
    </w:p>
    <w:p w:rsid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по проведению общественных обсуждений (в форме слушаний)</w:t>
      </w:r>
    </w:p>
    <w:p w:rsid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проек</w:t>
      </w:r>
      <w:r w:rsidRPr="00895DBA">
        <w:rPr>
          <w:b/>
          <w:sz w:val="28"/>
          <w:szCs w:val="28"/>
        </w:rPr>
        <w:t>т</w:t>
      </w:r>
      <w:r w:rsidRPr="00895DBA">
        <w:rPr>
          <w:b/>
          <w:sz w:val="28"/>
          <w:szCs w:val="28"/>
        </w:rPr>
        <w:t>ной документации «Мероприятия по охране</w:t>
      </w:r>
      <w:r>
        <w:rPr>
          <w:b/>
          <w:sz w:val="28"/>
          <w:szCs w:val="28"/>
        </w:rPr>
        <w:t xml:space="preserve"> </w:t>
      </w:r>
      <w:r w:rsidRPr="00895DBA">
        <w:rPr>
          <w:b/>
          <w:sz w:val="28"/>
          <w:szCs w:val="28"/>
        </w:rPr>
        <w:t xml:space="preserve">окружающей </w:t>
      </w:r>
    </w:p>
    <w:p w:rsid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среды», включая «Оценку воздействия</w:t>
      </w:r>
      <w:r>
        <w:rPr>
          <w:b/>
          <w:sz w:val="28"/>
          <w:szCs w:val="28"/>
        </w:rPr>
        <w:t xml:space="preserve"> </w:t>
      </w:r>
      <w:r w:rsidRPr="00895DBA">
        <w:rPr>
          <w:b/>
          <w:sz w:val="28"/>
          <w:szCs w:val="28"/>
        </w:rPr>
        <w:t xml:space="preserve">на окружающую среду» </w:t>
      </w:r>
    </w:p>
    <w:p w:rsid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объекта экспертизы «Реконструкция</w:t>
      </w:r>
      <w:r>
        <w:rPr>
          <w:b/>
          <w:sz w:val="28"/>
          <w:szCs w:val="28"/>
        </w:rPr>
        <w:t xml:space="preserve"> </w:t>
      </w:r>
      <w:r w:rsidRPr="00895DBA">
        <w:rPr>
          <w:b/>
          <w:sz w:val="28"/>
          <w:szCs w:val="28"/>
        </w:rPr>
        <w:t xml:space="preserve">ГРС «Валдай», </w:t>
      </w:r>
    </w:p>
    <w:p w:rsidR="00895DBA" w:rsidRDefault="00895DBA" w:rsidP="00895DBA">
      <w:pPr>
        <w:spacing w:line="240" w:lineRule="exact"/>
        <w:jc w:val="center"/>
        <w:rPr>
          <w:b/>
          <w:sz w:val="28"/>
          <w:szCs w:val="28"/>
        </w:rPr>
      </w:pPr>
      <w:r w:rsidRPr="00895DBA">
        <w:rPr>
          <w:b/>
          <w:sz w:val="28"/>
          <w:szCs w:val="28"/>
        </w:rPr>
        <w:t>Новгородская о</w:t>
      </w:r>
      <w:r w:rsidRPr="00895DBA">
        <w:rPr>
          <w:b/>
          <w:sz w:val="28"/>
          <w:szCs w:val="28"/>
        </w:rPr>
        <w:t>б</w:t>
      </w:r>
      <w:r w:rsidRPr="00895DBA">
        <w:rPr>
          <w:b/>
          <w:sz w:val="28"/>
          <w:szCs w:val="28"/>
        </w:rPr>
        <w:t>ласть»</w:t>
      </w:r>
    </w:p>
    <w:p w:rsidR="00895DBA" w:rsidRDefault="00895DBA" w:rsidP="00895DBA">
      <w:pPr>
        <w:spacing w:line="240" w:lineRule="exact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8"/>
        <w:gridCol w:w="6800"/>
      </w:tblGrid>
      <w:tr w:rsidR="00895DBA">
        <w:tc>
          <w:tcPr>
            <w:tcW w:w="2708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Рыбкин А.В.</w:t>
            </w:r>
          </w:p>
        </w:tc>
        <w:tc>
          <w:tcPr>
            <w:tcW w:w="6800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– заведующий отделом архитектуры, градостроител</w:t>
            </w:r>
            <w:r w:rsidRPr="00895DBA">
              <w:rPr>
                <w:sz w:val="28"/>
                <w:szCs w:val="28"/>
              </w:rPr>
              <w:t>ь</w:t>
            </w:r>
            <w:r w:rsidRPr="00895DBA">
              <w:rPr>
                <w:sz w:val="28"/>
                <w:szCs w:val="28"/>
              </w:rPr>
              <w:t>ства и строительства Администрации муниципальн</w:t>
            </w:r>
            <w:r w:rsidRPr="00895DBA">
              <w:rPr>
                <w:sz w:val="28"/>
                <w:szCs w:val="28"/>
              </w:rPr>
              <w:t>о</w:t>
            </w:r>
            <w:r w:rsidRPr="00895DBA">
              <w:rPr>
                <w:sz w:val="28"/>
                <w:szCs w:val="28"/>
              </w:rPr>
              <w:t>го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DBA">
        <w:tc>
          <w:tcPr>
            <w:tcW w:w="2708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Дмитриев А.С.</w:t>
            </w:r>
          </w:p>
        </w:tc>
        <w:tc>
          <w:tcPr>
            <w:tcW w:w="6800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</w:t>
            </w:r>
            <w:r w:rsidRPr="00895DBA">
              <w:rPr>
                <w:sz w:val="28"/>
                <w:szCs w:val="28"/>
              </w:rPr>
              <w:t>лавный служащий отдела архитектуры, градостро</w:t>
            </w:r>
            <w:r w:rsidRPr="00895DBA">
              <w:rPr>
                <w:sz w:val="28"/>
                <w:szCs w:val="28"/>
              </w:rPr>
              <w:t>и</w:t>
            </w:r>
            <w:r w:rsidRPr="00895DBA">
              <w:rPr>
                <w:sz w:val="28"/>
                <w:szCs w:val="28"/>
              </w:rPr>
              <w:t>тельства и строительства Администрации муниц</w:t>
            </w:r>
            <w:r w:rsidRPr="00895DBA">
              <w:rPr>
                <w:sz w:val="28"/>
                <w:szCs w:val="28"/>
              </w:rPr>
              <w:t>и</w:t>
            </w:r>
            <w:r w:rsidRPr="00895DBA">
              <w:rPr>
                <w:sz w:val="28"/>
                <w:szCs w:val="28"/>
              </w:rPr>
              <w:t>пального ра</w:t>
            </w:r>
            <w:r w:rsidRPr="00895DBA">
              <w:rPr>
                <w:sz w:val="28"/>
                <w:szCs w:val="28"/>
              </w:rPr>
              <w:t>й</w:t>
            </w:r>
            <w:r w:rsidRPr="00895DBA">
              <w:rPr>
                <w:sz w:val="28"/>
                <w:szCs w:val="28"/>
              </w:rPr>
              <w:t>она,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95DBA">
        <w:tc>
          <w:tcPr>
            <w:tcW w:w="2708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0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5DBA">
        <w:tc>
          <w:tcPr>
            <w:tcW w:w="2708" w:type="dxa"/>
          </w:tcPr>
          <w:p w:rsidR="00895DBA" w:rsidRPr="00895DBA" w:rsidRDefault="00895DBA" w:rsidP="00895DBA">
            <w:pPr>
              <w:jc w:val="both"/>
              <w:rPr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Беркевич О.В.</w:t>
            </w:r>
          </w:p>
        </w:tc>
        <w:tc>
          <w:tcPr>
            <w:tcW w:w="6800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</w:t>
            </w:r>
            <w:r w:rsidRPr="00895DBA">
              <w:rPr>
                <w:sz w:val="28"/>
                <w:szCs w:val="28"/>
              </w:rPr>
              <w:t>едущий служащий отдела архитектуры, градостр</w:t>
            </w:r>
            <w:r w:rsidRPr="00895DBA">
              <w:rPr>
                <w:sz w:val="28"/>
                <w:szCs w:val="28"/>
              </w:rPr>
              <w:t>о</w:t>
            </w:r>
            <w:r w:rsidRPr="00895DBA">
              <w:rPr>
                <w:sz w:val="28"/>
                <w:szCs w:val="28"/>
              </w:rPr>
              <w:t>ительства и строительства Администрации муниц</w:t>
            </w:r>
            <w:r w:rsidRPr="00895DBA">
              <w:rPr>
                <w:sz w:val="28"/>
                <w:szCs w:val="28"/>
              </w:rPr>
              <w:t>и</w:t>
            </w:r>
            <w:r w:rsidRPr="00895DBA">
              <w:rPr>
                <w:sz w:val="28"/>
                <w:szCs w:val="28"/>
              </w:rPr>
              <w:t>пального ра</w:t>
            </w:r>
            <w:r w:rsidRPr="00895DBA">
              <w:rPr>
                <w:sz w:val="28"/>
                <w:szCs w:val="28"/>
              </w:rPr>
              <w:t>й</w:t>
            </w:r>
            <w:r w:rsidRPr="00895DBA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DBA">
        <w:tc>
          <w:tcPr>
            <w:tcW w:w="2708" w:type="dxa"/>
          </w:tcPr>
          <w:p w:rsidR="00895DBA" w:rsidRPr="00895DBA" w:rsidRDefault="00895DBA" w:rsidP="00895DBA">
            <w:pPr>
              <w:jc w:val="both"/>
              <w:rPr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Качнова А.А.</w:t>
            </w:r>
          </w:p>
        </w:tc>
        <w:tc>
          <w:tcPr>
            <w:tcW w:w="6800" w:type="dxa"/>
          </w:tcPr>
          <w:p w:rsidR="00895DBA" w:rsidRDefault="00895DBA" w:rsidP="00895DBA">
            <w:pPr>
              <w:jc w:val="both"/>
              <w:rPr>
                <w:b/>
                <w:sz w:val="28"/>
                <w:szCs w:val="28"/>
              </w:rPr>
            </w:pPr>
            <w:r w:rsidRPr="00895DBA">
              <w:rPr>
                <w:sz w:val="28"/>
                <w:szCs w:val="28"/>
              </w:rPr>
              <w:t>– инженер-землеустроитель ЗАО «Проектнефтегаз» (по согласов</w:t>
            </w:r>
            <w:r w:rsidRPr="00895DBA">
              <w:rPr>
                <w:sz w:val="28"/>
                <w:szCs w:val="28"/>
              </w:rPr>
              <w:t>а</w:t>
            </w:r>
            <w:r w:rsidRPr="00895DBA">
              <w:rPr>
                <w:sz w:val="28"/>
                <w:szCs w:val="28"/>
              </w:rPr>
              <w:t>нию).</w:t>
            </w:r>
          </w:p>
        </w:tc>
      </w:tr>
    </w:tbl>
    <w:p w:rsidR="00895DBA" w:rsidRPr="00895DBA" w:rsidRDefault="00895DBA" w:rsidP="00895DBA">
      <w:pPr>
        <w:ind w:right="-1"/>
        <w:jc w:val="both"/>
      </w:pPr>
    </w:p>
    <w:p w:rsidR="00895DBA" w:rsidRPr="00895DBA" w:rsidRDefault="00895DBA" w:rsidP="00895DBA">
      <w:pPr>
        <w:spacing w:line="240" w:lineRule="exact"/>
        <w:jc w:val="both"/>
        <w:rPr>
          <w:b/>
          <w:sz w:val="28"/>
          <w:szCs w:val="28"/>
        </w:rPr>
      </w:pPr>
    </w:p>
    <w:sectPr w:rsidR="00895DBA" w:rsidRPr="00895DB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03" w:rsidRDefault="00725A03">
      <w:r>
        <w:separator/>
      </w:r>
    </w:p>
  </w:endnote>
  <w:endnote w:type="continuationSeparator" w:id="0">
    <w:p w:rsidR="00725A03" w:rsidRDefault="0072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03" w:rsidRDefault="00725A03">
      <w:r>
        <w:separator/>
      </w:r>
    </w:p>
  </w:footnote>
  <w:footnote w:type="continuationSeparator" w:id="0">
    <w:p w:rsidR="00725A03" w:rsidRDefault="0072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F0ED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2C8"/>
    <w:multiLevelType w:val="hybridMultilevel"/>
    <w:tmpl w:val="BC489308"/>
    <w:lvl w:ilvl="0" w:tplc="5C0007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3294EFF"/>
    <w:multiLevelType w:val="multilevel"/>
    <w:tmpl w:val="855CA8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A356D"/>
    <w:multiLevelType w:val="hybridMultilevel"/>
    <w:tmpl w:val="60729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05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5A03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2F7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DBA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0ED2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73AB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A7D1C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0D8F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2016-07-22T08:13:00Z</cp:lastPrinted>
  <dcterms:created xsi:type="dcterms:W3CDTF">2016-07-25T04:50:00Z</dcterms:created>
  <dcterms:modified xsi:type="dcterms:W3CDTF">2016-07-25T04:50:00Z</dcterms:modified>
</cp:coreProperties>
</file>