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3877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40582" w:rsidP="00C4619C">
      <w:pPr>
        <w:jc w:val="center"/>
        <w:rPr>
          <w:sz w:val="28"/>
        </w:rPr>
      </w:pPr>
      <w:r>
        <w:rPr>
          <w:sz w:val="28"/>
        </w:rPr>
        <w:t>1</w:t>
      </w:r>
      <w:r w:rsidR="00E912B6">
        <w:rPr>
          <w:sz w:val="28"/>
        </w:rPr>
        <w:t>4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E912B6">
        <w:rPr>
          <w:sz w:val="28"/>
        </w:rPr>
        <w:t>1553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912B6" w:rsidRDefault="00E912B6" w:rsidP="00E912B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6100B">
        <w:rPr>
          <w:b/>
          <w:sz w:val="28"/>
          <w:szCs w:val="28"/>
        </w:rPr>
        <w:t>О внесении изменений в Положение</w:t>
      </w:r>
    </w:p>
    <w:p w:rsidR="00E912B6" w:rsidRDefault="00E912B6" w:rsidP="00E912B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6100B">
        <w:rPr>
          <w:b/>
          <w:sz w:val="28"/>
          <w:szCs w:val="28"/>
        </w:rPr>
        <w:t>о порядке размещения</w:t>
      </w:r>
      <w:r>
        <w:rPr>
          <w:b/>
          <w:sz w:val="28"/>
          <w:szCs w:val="28"/>
        </w:rPr>
        <w:t xml:space="preserve"> </w:t>
      </w:r>
      <w:r w:rsidRPr="00C6100B">
        <w:rPr>
          <w:b/>
          <w:sz w:val="28"/>
          <w:szCs w:val="28"/>
        </w:rPr>
        <w:t>нестаци</w:t>
      </w:r>
      <w:r w:rsidRPr="00C6100B">
        <w:rPr>
          <w:b/>
          <w:sz w:val="28"/>
          <w:szCs w:val="28"/>
        </w:rPr>
        <w:t>о</w:t>
      </w:r>
      <w:r w:rsidRPr="00C6100B">
        <w:rPr>
          <w:b/>
          <w:sz w:val="28"/>
          <w:szCs w:val="28"/>
        </w:rPr>
        <w:t>нарных</w:t>
      </w:r>
    </w:p>
    <w:p w:rsidR="00E912B6" w:rsidRDefault="00E912B6" w:rsidP="00E912B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6100B">
        <w:rPr>
          <w:b/>
          <w:sz w:val="28"/>
          <w:szCs w:val="28"/>
        </w:rPr>
        <w:t>торговых объектов</w:t>
      </w:r>
      <w:r>
        <w:rPr>
          <w:b/>
          <w:sz w:val="28"/>
          <w:szCs w:val="28"/>
        </w:rPr>
        <w:t xml:space="preserve"> </w:t>
      </w:r>
      <w:r w:rsidRPr="00C6100B">
        <w:rPr>
          <w:b/>
          <w:sz w:val="28"/>
          <w:szCs w:val="28"/>
        </w:rPr>
        <w:t>на территории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6100B">
        <w:rPr>
          <w:b/>
          <w:sz w:val="28"/>
          <w:szCs w:val="28"/>
        </w:rPr>
        <w:t>Валдайского муниципального района</w:t>
      </w:r>
    </w:p>
    <w:p w:rsidR="00E912B6" w:rsidRPr="00E912B6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12B6" w:rsidRPr="00E912B6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100B">
        <w:rPr>
          <w:sz w:val="28"/>
          <w:szCs w:val="28"/>
        </w:rPr>
        <w:t xml:space="preserve">Администрация Валдайского муниципального района </w:t>
      </w:r>
      <w:r w:rsidRPr="00C6100B">
        <w:rPr>
          <w:b/>
          <w:sz w:val="28"/>
          <w:szCs w:val="28"/>
        </w:rPr>
        <w:t>ПОСТАНО</w:t>
      </w:r>
      <w:r w:rsidRPr="00C6100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C6100B">
        <w:rPr>
          <w:b/>
          <w:sz w:val="28"/>
          <w:szCs w:val="28"/>
        </w:rPr>
        <w:t>ЛЯЕТ: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100B">
        <w:rPr>
          <w:sz w:val="28"/>
          <w:szCs w:val="28"/>
        </w:rPr>
        <w:t xml:space="preserve">Внести изменения в </w:t>
      </w:r>
      <w:hyperlink r:id="rId10" w:anchor="Par45" w:history="1">
        <w:r w:rsidRPr="00C6100B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C6100B">
        <w:rPr>
          <w:sz w:val="28"/>
          <w:szCs w:val="28"/>
        </w:rPr>
        <w:t xml:space="preserve"> о порядке размещения нестационарных торговых объектов на территории Валдайского муниц</w:t>
      </w:r>
      <w:r w:rsidRPr="00C6100B">
        <w:rPr>
          <w:sz w:val="28"/>
          <w:szCs w:val="28"/>
        </w:rPr>
        <w:t>и</w:t>
      </w:r>
      <w:r w:rsidRPr="00C6100B">
        <w:rPr>
          <w:sz w:val="28"/>
          <w:szCs w:val="28"/>
        </w:rPr>
        <w:t>пального района, утвержденное постановлением Администрации Валдайского муниципальн</w:t>
      </w:r>
      <w:r w:rsidRPr="00C6100B">
        <w:rPr>
          <w:sz w:val="28"/>
          <w:szCs w:val="28"/>
        </w:rPr>
        <w:t>о</w:t>
      </w:r>
      <w:r w:rsidRPr="00C6100B">
        <w:rPr>
          <w:sz w:val="28"/>
          <w:szCs w:val="28"/>
        </w:rPr>
        <w:t>го района от 21.04.2017 № 680 «О порядке размещения нестационарных то</w:t>
      </w:r>
      <w:r w:rsidRPr="00C6100B">
        <w:rPr>
          <w:sz w:val="28"/>
          <w:szCs w:val="28"/>
        </w:rPr>
        <w:t>р</w:t>
      </w:r>
      <w:r w:rsidRPr="00C6100B">
        <w:rPr>
          <w:sz w:val="28"/>
          <w:szCs w:val="28"/>
        </w:rPr>
        <w:t>говых объектов на территории Валдайского муниципального района», изл</w:t>
      </w:r>
      <w:r w:rsidRPr="00C6100B">
        <w:rPr>
          <w:sz w:val="28"/>
          <w:szCs w:val="28"/>
        </w:rPr>
        <w:t>о</w:t>
      </w:r>
      <w:r w:rsidRPr="00C6100B">
        <w:rPr>
          <w:sz w:val="28"/>
          <w:szCs w:val="28"/>
        </w:rPr>
        <w:t xml:space="preserve">жив подпункты </w:t>
      </w:r>
      <w:r>
        <w:rPr>
          <w:sz w:val="28"/>
          <w:szCs w:val="28"/>
        </w:rPr>
        <w:t>1.</w:t>
      </w:r>
      <w:r w:rsidRPr="00C6100B">
        <w:rPr>
          <w:sz w:val="28"/>
          <w:szCs w:val="28"/>
        </w:rPr>
        <w:t>2, 1.7, 1.9, 1.11 в редакции: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 </w:t>
      </w:r>
      <w:r w:rsidRPr="00C6100B">
        <w:rPr>
          <w:sz w:val="28"/>
          <w:szCs w:val="28"/>
        </w:rPr>
        <w:t>Настоящее Положение определяет порядок размещения нестаци</w:t>
      </w:r>
      <w:r w:rsidRPr="00C6100B">
        <w:rPr>
          <w:sz w:val="28"/>
          <w:szCs w:val="28"/>
        </w:rPr>
        <w:t>о</w:t>
      </w:r>
      <w:r w:rsidRPr="00C6100B">
        <w:rPr>
          <w:sz w:val="28"/>
          <w:szCs w:val="28"/>
        </w:rPr>
        <w:t>нарных торговых объектов на территории Валдайского</w:t>
      </w:r>
      <w:r w:rsidRPr="00C6100B">
        <w:rPr>
          <w:sz w:val="28"/>
          <w:szCs w:val="28"/>
          <w:lang w:eastAsia="en-US"/>
        </w:rPr>
        <w:t xml:space="preserve"> муниципального</w:t>
      </w:r>
      <w:r w:rsidRPr="00C6100B">
        <w:rPr>
          <w:sz w:val="28"/>
          <w:szCs w:val="28"/>
        </w:rPr>
        <w:t xml:space="preserve"> ра</w:t>
      </w:r>
      <w:r w:rsidRPr="00C6100B">
        <w:rPr>
          <w:sz w:val="28"/>
          <w:szCs w:val="28"/>
        </w:rPr>
        <w:t>й</w:t>
      </w:r>
      <w:r w:rsidRPr="00C6100B">
        <w:rPr>
          <w:sz w:val="28"/>
          <w:szCs w:val="28"/>
        </w:rPr>
        <w:t>она.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 xml:space="preserve">Нестационарный торговый объект </w:t>
      </w:r>
      <w:r>
        <w:rPr>
          <w:sz w:val="28"/>
          <w:szCs w:val="28"/>
        </w:rPr>
        <w:t>(далее -</w:t>
      </w:r>
      <w:r w:rsidRPr="00C6100B">
        <w:rPr>
          <w:sz w:val="28"/>
          <w:szCs w:val="28"/>
        </w:rPr>
        <w:t xml:space="preserve"> НТО) </w:t>
      </w:r>
      <w:r>
        <w:rPr>
          <w:sz w:val="28"/>
          <w:szCs w:val="28"/>
        </w:rPr>
        <w:t>–</w:t>
      </w:r>
      <w:r w:rsidRPr="00C6100B">
        <w:rPr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rPr>
          <w:sz w:val="28"/>
          <w:szCs w:val="28"/>
        </w:rPr>
        <w:t>.</w:t>
      </w:r>
    </w:p>
    <w:p w:rsidR="00E912B6" w:rsidRPr="00C6100B" w:rsidRDefault="00E912B6" w:rsidP="00E912B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C6100B">
        <w:rPr>
          <w:rFonts w:eastAsia="Calibri"/>
          <w:sz w:val="28"/>
          <w:szCs w:val="28"/>
        </w:rPr>
        <w:t xml:space="preserve">Сезонные НТО </w:t>
      </w:r>
      <w:r>
        <w:rPr>
          <w:rFonts w:eastAsia="Calibri"/>
          <w:sz w:val="28"/>
          <w:szCs w:val="28"/>
        </w:rPr>
        <w:t>–</w:t>
      </w:r>
      <w:r w:rsidRPr="00C6100B">
        <w:rPr>
          <w:rFonts w:eastAsia="Calibri"/>
          <w:sz w:val="28"/>
          <w:szCs w:val="28"/>
        </w:rPr>
        <w:t xml:space="preserve"> временные объекты из сборно-разборных конструкций либо за ограждением с использованием декорати</w:t>
      </w:r>
      <w:r w:rsidRPr="00C6100B">
        <w:rPr>
          <w:rFonts w:eastAsia="Calibri"/>
          <w:sz w:val="28"/>
          <w:szCs w:val="28"/>
        </w:rPr>
        <w:t>в</w:t>
      </w:r>
      <w:r w:rsidRPr="00C6100B">
        <w:rPr>
          <w:rFonts w:eastAsia="Calibri"/>
          <w:sz w:val="28"/>
          <w:szCs w:val="28"/>
        </w:rPr>
        <w:t>ных элементов, покрытий, зонтов и т.д., оснащенные торгово-техническим оборудованием.</w:t>
      </w:r>
      <w:r>
        <w:rPr>
          <w:rFonts w:eastAsia="Calibri"/>
          <w:sz w:val="28"/>
          <w:szCs w:val="28"/>
        </w:rPr>
        <w:t>»;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100B">
        <w:rPr>
          <w:sz w:val="28"/>
          <w:szCs w:val="28"/>
        </w:rPr>
        <w:t>1.7. Начальная цена предмета аукциона (в размере единого платежа за весь период действия договора) определяется в следующем порядке:</w:t>
      </w:r>
    </w:p>
    <w:p w:rsidR="00E912B6" w:rsidRPr="00E912B6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1.7.1. в случае размещения НТО на сформированном земельном участке, находящемся на кадастровом учете:</w:t>
      </w:r>
    </w:p>
    <w:p w:rsidR="00E912B6" w:rsidRPr="00E912B6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B6">
        <w:rPr>
          <w:sz w:val="28"/>
          <w:szCs w:val="28"/>
        </w:rPr>
        <w:t>НЦПА</w:t>
      </w:r>
      <w:r>
        <w:rPr>
          <w:sz w:val="28"/>
          <w:szCs w:val="28"/>
        </w:rPr>
        <w:t xml:space="preserve"> </w:t>
      </w:r>
      <w:r w:rsidRPr="00E912B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912B6">
        <w:rPr>
          <w:sz w:val="28"/>
          <w:szCs w:val="28"/>
        </w:rPr>
        <w:t>УПС х К х ПТО, где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УПС – удельный показатель стоимости</w:t>
      </w:r>
      <w:r>
        <w:rPr>
          <w:sz w:val="28"/>
          <w:szCs w:val="28"/>
        </w:rPr>
        <w:t xml:space="preserve"> 1 кв.м</w:t>
      </w:r>
      <w:r w:rsidRPr="00C6100B">
        <w:rPr>
          <w:sz w:val="28"/>
          <w:szCs w:val="28"/>
        </w:rPr>
        <w:t xml:space="preserve"> от кадастровой стоимости земельного участка;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К – повышающий коэффициент;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ПТО – площадь НТО;</w:t>
      </w:r>
    </w:p>
    <w:p w:rsidR="00E912B6" w:rsidRPr="00E912B6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</w:t>
      </w:r>
      <w:r w:rsidRPr="00C6100B">
        <w:rPr>
          <w:sz w:val="28"/>
          <w:szCs w:val="28"/>
        </w:rPr>
        <w:t>. в случае размещения НТО на земельном участке, государственная собственность на который не разграничена: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НЦПА</w:t>
      </w:r>
      <w:r>
        <w:rPr>
          <w:sz w:val="28"/>
          <w:szCs w:val="28"/>
        </w:rPr>
        <w:t xml:space="preserve"> </w:t>
      </w:r>
      <w:r w:rsidRPr="00C6100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6100B">
        <w:rPr>
          <w:sz w:val="28"/>
          <w:szCs w:val="28"/>
        </w:rPr>
        <w:t>СУКС х К х ПТО, где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СУКС – средний уров</w:t>
      </w:r>
      <w:r>
        <w:rPr>
          <w:sz w:val="28"/>
          <w:szCs w:val="28"/>
        </w:rPr>
        <w:t>ень кадастровой стоимости 1 кв.м</w:t>
      </w:r>
      <w:r w:rsidRPr="00C6100B">
        <w:rPr>
          <w:sz w:val="28"/>
          <w:szCs w:val="28"/>
        </w:rPr>
        <w:t xml:space="preserve"> земель кад</w:t>
      </w:r>
      <w:r w:rsidRPr="00C6100B">
        <w:rPr>
          <w:sz w:val="28"/>
          <w:szCs w:val="28"/>
        </w:rPr>
        <w:t>а</w:t>
      </w:r>
      <w:r w:rsidRPr="00C6100B">
        <w:rPr>
          <w:sz w:val="28"/>
          <w:szCs w:val="28"/>
        </w:rPr>
        <w:t>стровых кварталов населенных пунктов по Валдайскому муниципальному ра</w:t>
      </w:r>
      <w:r w:rsidRPr="00C6100B">
        <w:rPr>
          <w:sz w:val="28"/>
          <w:szCs w:val="28"/>
        </w:rPr>
        <w:t>й</w:t>
      </w:r>
      <w:r>
        <w:rPr>
          <w:sz w:val="28"/>
          <w:szCs w:val="28"/>
        </w:rPr>
        <w:t>ону;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К – повышающий коэффициент;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ПТО – площадь НТО</w:t>
      </w:r>
      <w:r>
        <w:rPr>
          <w:sz w:val="28"/>
          <w:szCs w:val="28"/>
        </w:rPr>
        <w:t>.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Повышающий коэффициент для НТО: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со специализацией «розничная торговля продовольственной группой товаров», «оказание услуг общественного питания», «розничная торговля печатной продукцией», «оказание бытовых услуг населению» р</w:t>
      </w:r>
      <w:r w:rsidRPr="00C6100B">
        <w:rPr>
          <w:sz w:val="28"/>
          <w:szCs w:val="28"/>
        </w:rPr>
        <w:t>а</w:t>
      </w:r>
      <w:r w:rsidRPr="00C6100B">
        <w:rPr>
          <w:sz w:val="28"/>
          <w:szCs w:val="28"/>
        </w:rPr>
        <w:t>вен 1,2;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со специализацией «розничная торговля непродовольственной группой товаров» и «розничная торговля предметами культового и религиозного назначения» р</w:t>
      </w:r>
      <w:r w:rsidRPr="00C6100B">
        <w:rPr>
          <w:sz w:val="28"/>
          <w:szCs w:val="28"/>
        </w:rPr>
        <w:t>а</w:t>
      </w:r>
      <w:r w:rsidRPr="00C6100B">
        <w:rPr>
          <w:sz w:val="28"/>
          <w:szCs w:val="28"/>
        </w:rPr>
        <w:t>вен 1,5.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Для НТО, расположенного в сельском населенном пункте, вне зависимости от специализации, повышающий коэ</w:t>
      </w:r>
      <w:r w:rsidRPr="00C6100B">
        <w:rPr>
          <w:sz w:val="28"/>
          <w:szCs w:val="28"/>
        </w:rPr>
        <w:t>ф</w:t>
      </w:r>
      <w:r w:rsidRPr="00C6100B">
        <w:rPr>
          <w:sz w:val="28"/>
          <w:szCs w:val="28"/>
        </w:rPr>
        <w:t>фициент равен 2;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1.7.3. в случае сезонного размещения нестационарного торгового объекта начальная цена предмета аукциона умножается на коэффициент, равный отношению Т/Тг, где: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Т</w:t>
      </w:r>
      <w:r>
        <w:rPr>
          <w:sz w:val="28"/>
          <w:szCs w:val="28"/>
        </w:rPr>
        <w:t xml:space="preserve"> –</w:t>
      </w:r>
      <w:r w:rsidRPr="00C6100B">
        <w:rPr>
          <w:sz w:val="28"/>
          <w:szCs w:val="28"/>
        </w:rPr>
        <w:t xml:space="preserve"> срок размещения НТО, дни;</w:t>
      </w:r>
    </w:p>
    <w:p w:rsidR="00E912B6" w:rsidRPr="00C6100B" w:rsidRDefault="00E912B6" w:rsidP="00E912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Тг – количество дней в году.</w:t>
      </w:r>
      <w:r>
        <w:rPr>
          <w:sz w:val="28"/>
          <w:szCs w:val="28"/>
        </w:rPr>
        <w:t>»;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100B">
        <w:rPr>
          <w:sz w:val="28"/>
          <w:szCs w:val="28"/>
        </w:rPr>
        <w:t xml:space="preserve">1.9. Заключение договоров на право размещения НТО на территории Валдайского </w:t>
      </w:r>
      <w:r w:rsidRPr="00C6100B">
        <w:rPr>
          <w:sz w:val="28"/>
          <w:szCs w:val="28"/>
          <w:lang w:eastAsia="en-US"/>
        </w:rPr>
        <w:t xml:space="preserve">муниципального </w:t>
      </w:r>
      <w:r w:rsidRPr="00C6100B">
        <w:rPr>
          <w:sz w:val="28"/>
          <w:szCs w:val="28"/>
        </w:rPr>
        <w:t>района, стро</w:t>
      </w:r>
      <w:r w:rsidRPr="00C6100B">
        <w:rPr>
          <w:sz w:val="28"/>
          <w:szCs w:val="28"/>
        </w:rPr>
        <w:t>и</w:t>
      </w:r>
      <w:r w:rsidRPr="00C6100B">
        <w:rPr>
          <w:sz w:val="28"/>
          <w:szCs w:val="28"/>
        </w:rPr>
        <w:t xml:space="preserve">тельство, реконструкция, размещение и эксплуатация которых были начаты и произведены в установленном ранее законом порядке для НТО на территории Валдайского </w:t>
      </w:r>
      <w:r w:rsidRPr="00C6100B">
        <w:rPr>
          <w:sz w:val="28"/>
          <w:szCs w:val="28"/>
          <w:lang w:eastAsia="en-US"/>
        </w:rPr>
        <w:t xml:space="preserve">муниципального </w:t>
      </w:r>
      <w:r w:rsidRPr="00C6100B">
        <w:rPr>
          <w:sz w:val="28"/>
          <w:szCs w:val="28"/>
        </w:rPr>
        <w:t xml:space="preserve">района и срок действия договоров на право размещения которых составляет не менее одного года, осуществляется посредством реализации преимущественного права перед другими лицами. В указанном случае хозяйствующий субъект имеет преимущественное право на заключение договора на право размещения НТО на территории Валдайского муниципального района. В случае размещения сезонного НТО право </w:t>
      </w:r>
      <w:r>
        <w:rPr>
          <w:sz w:val="28"/>
          <w:szCs w:val="28"/>
        </w:rPr>
        <w:br/>
      </w:r>
      <w:r w:rsidRPr="00C6100B">
        <w:rPr>
          <w:sz w:val="28"/>
          <w:szCs w:val="28"/>
        </w:rPr>
        <w:t>на преимущественное заключение договора на новый срок не устанавливается.</w:t>
      </w:r>
      <w:r>
        <w:rPr>
          <w:sz w:val="28"/>
          <w:szCs w:val="28"/>
        </w:rPr>
        <w:t>»;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100B">
        <w:rPr>
          <w:sz w:val="28"/>
          <w:szCs w:val="28"/>
        </w:rPr>
        <w:t xml:space="preserve">1.11. Договоры на право размещения НТО на территории Валдайского </w:t>
      </w:r>
      <w:r w:rsidRPr="00C6100B">
        <w:rPr>
          <w:sz w:val="28"/>
          <w:szCs w:val="28"/>
          <w:lang w:eastAsia="en-US"/>
        </w:rPr>
        <w:t xml:space="preserve">муниципального </w:t>
      </w:r>
      <w:r w:rsidRPr="00C6100B">
        <w:rPr>
          <w:sz w:val="28"/>
          <w:szCs w:val="28"/>
        </w:rPr>
        <w:t xml:space="preserve">района заключаются на срок не более одного года. Договоры на право размещения НТО на территории Валдайского </w:t>
      </w:r>
      <w:r w:rsidRPr="00C6100B">
        <w:rPr>
          <w:sz w:val="28"/>
          <w:szCs w:val="28"/>
          <w:lang w:eastAsia="en-US"/>
        </w:rPr>
        <w:t xml:space="preserve">муниципального </w:t>
      </w:r>
      <w:r w:rsidRPr="00C6100B">
        <w:rPr>
          <w:sz w:val="28"/>
          <w:szCs w:val="28"/>
        </w:rPr>
        <w:t>района, функционирующих сезонно, заключаются на срок не более шести месяцев.</w:t>
      </w:r>
      <w:r>
        <w:rPr>
          <w:sz w:val="28"/>
          <w:szCs w:val="28"/>
        </w:rPr>
        <w:t>».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00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C6100B">
        <w:rPr>
          <w:sz w:val="28"/>
          <w:szCs w:val="28"/>
        </w:rPr>
        <w:t>р</w:t>
      </w:r>
      <w:r w:rsidRPr="00C6100B">
        <w:rPr>
          <w:sz w:val="28"/>
          <w:szCs w:val="28"/>
        </w:rPr>
        <w:t>нет».</w:t>
      </w:r>
    </w:p>
    <w:p w:rsidR="00E912B6" w:rsidRPr="00C6100B" w:rsidRDefault="00E912B6" w:rsidP="00E912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912B6">
      <w:headerReference w:type="default" r:id="rId11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D6" w:rsidRDefault="001840D6">
      <w:r>
        <w:separator/>
      </w:r>
    </w:p>
  </w:endnote>
  <w:endnote w:type="continuationSeparator" w:id="0">
    <w:p w:rsidR="001840D6" w:rsidRDefault="0018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D6" w:rsidRDefault="001840D6">
      <w:r>
        <w:separator/>
      </w:r>
    </w:p>
  </w:footnote>
  <w:footnote w:type="continuationSeparator" w:id="0">
    <w:p w:rsidR="001840D6" w:rsidRDefault="0018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27F0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0D6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5D76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F0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2B6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44;&#1086;&#1082;&#1091;&#1084;&#1077;&#1085;&#1090;&#1099;\&#1053;&#1040;%20&#1057;&#1040;&#1049;&#1058;!!!!\&#1053;&#1055;&#1040;\&#1082;&#1086;&#1084;&#1080;&#1090;&#1077;&#1090;%20&#1101;&#1082;&#1086;&#1085;&#1086;&#1084;&#1080;&#1082;&#1080;\&#1055;&#1086;&#1083;&#1086;&#1078;&#1077;&#1085;&#1080;&#1077;%20&#1086;%20%20&#1088;&#1072;&#1079;&#1084;&#1077;&#1097;&#1077;&#1085;&#1080;&#1080;%20&#1085;&#1077;&#1089;&#1090;&#1072;&#1094;&#1080;&#1086;&#1085;&#1072;&#1088;&#1085;&#1099;&#1093;%20&#1086;&#1073;&#1098;&#1077;&#1082;&#1090;&#1086;&#1074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787F-F647-485E-9E1D-15998DD2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4209</CharactersWithSpaces>
  <SharedDoc>false</SharedDoc>
  <HLinks>
    <vt:vector size="6" baseType="variant">
      <vt:variant>
        <vt:i4>71631914</vt:i4>
      </vt:variant>
      <vt:variant>
        <vt:i4>0</vt:i4>
      </vt:variant>
      <vt:variant>
        <vt:i4>0</vt:i4>
      </vt:variant>
      <vt:variant>
        <vt:i4>5</vt:i4>
      </vt:variant>
      <vt:variant>
        <vt:lpwstr>../комитет экономики/Положение о  размещении нестационарных объектов.doc</vt:lpwstr>
      </vt:variant>
      <vt:variant>
        <vt:lpwstr>Par45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2024-06-19T08:19:00Z</cp:lastPrinted>
  <dcterms:created xsi:type="dcterms:W3CDTF">2024-06-20T08:22:00Z</dcterms:created>
  <dcterms:modified xsi:type="dcterms:W3CDTF">2024-06-20T08:22:00Z</dcterms:modified>
</cp:coreProperties>
</file>