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8B6157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1C3139" w:rsidRDefault="001C3139" w:rsidP="001C3139">
      <w:pPr>
        <w:spacing w:line="240" w:lineRule="exact"/>
        <w:jc w:val="center"/>
        <w:rPr>
          <w:b/>
          <w:sz w:val="28"/>
          <w:szCs w:val="28"/>
        </w:rPr>
      </w:pPr>
      <w:r w:rsidRPr="001C3139">
        <w:rPr>
          <w:b/>
          <w:sz w:val="28"/>
          <w:szCs w:val="28"/>
        </w:rPr>
        <w:t>Об утверждении на 2024 год коэффициентов,</w:t>
      </w:r>
      <w:r>
        <w:rPr>
          <w:b/>
          <w:sz w:val="28"/>
          <w:szCs w:val="28"/>
        </w:rPr>
        <w:t xml:space="preserve"> </w:t>
      </w:r>
      <w:r w:rsidRPr="001C3139">
        <w:rPr>
          <w:b/>
          <w:sz w:val="28"/>
          <w:szCs w:val="28"/>
        </w:rPr>
        <w:t>определяемых</w:t>
      </w:r>
    </w:p>
    <w:p w:rsidR="001C3139" w:rsidRDefault="001C3139" w:rsidP="001C3139">
      <w:pPr>
        <w:spacing w:line="240" w:lineRule="exact"/>
        <w:jc w:val="center"/>
        <w:rPr>
          <w:b/>
          <w:sz w:val="28"/>
          <w:szCs w:val="28"/>
        </w:rPr>
      </w:pPr>
      <w:r w:rsidRPr="001C3139">
        <w:rPr>
          <w:b/>
          <w:sz w:val="28"/>
          <w:szCs w:val="28"/>
        </w:rPr>
        <w:t>для различных видов</w:t>
      </w:r>
      <w:r>
        <w:rPr>
          <w:b/>
          <w:sz w:val="28"/>
          <w:szCs w:val="28"/>
        </w:rPr>
        <w:t xml:space="preserve"> </w:t>
      </w:r>
      <w:r w:rsidRPr="001C3139">
        <w:rPr>
          <w:b/>
          <w:sz w:val="28"/>
          <w:szCs w:val="28"/>
        </w:rPr>
        <w:t>функционального использования</w:t>
      </w:r>
    </w:p>
    <w:p w:rsidR="001C3139" w:rsidRDefault="001C3139" w:rsidP="001C3139">
      <w:pPr>
        <w:spacing w:line="240" w:lineRule="exact"/>
        <w:jc w:val="center"/>
        <w:rPr>
          <w:b/>
          <w:sz w:val="28"/>
          <w:szCs w:val="28"/>
        </w:rPr>
      </w:pPr>
      <w:r w:rsidRPr="001C3139">
        <w:rPr>
          <w:b/>
          <w:sz w:val="28"/>
          <w:szCs w:val="28"/>
        </w:rPr>
        <w:t>земельных уч</w:t>
      </w:r>
      <w:r w:rsidRPr="001C3139">
        <w:rPr>
          <w:b/>
          <w:sz w:val="28"/>
          <w:szCs w:val="28"/>
        </w:rPr>
        <w:t>а</w:t>
      </w:r>
      <w:r w:rsidRPr="001C3139">
        <w:rPr>
          <w:b/>
          <w:sz w:val="28"/>
          <w:szCs w:val="28"/>
        </w:rPr>
        <w:t>стков, при определении</w:t>
      </w:r>
      <w:r>
        <w:rPr>
          <w:b/>
          <w:sz w:val="28"/>
          <w:szCs w:val="28"/>
        </w:rPr>
        <w:t xml:space="preserve"> </w:t>
      </w:r>
      <w:r w:rsidRPr="001C3139">
        <w:rPr>
          <w:b/>
          <w:sz w:val="28"/>
          <w:szCs w:val="28"/>
        </w:rPr>
        <w:t>размера арендной</w:t>
      </w:r>
    </w:p>
    <w:p w:rsidR="001C3139" w:rsidRDefault="001C3139" w:rsidP="001C3139">
      <w:pPr>
        <w:spacing w:line="240" w:lineRule="exact"/>
        <w:jc w:val="center"/>
        <w:rPr>
          <w:b/>
          <w:sz w:val="28"/>
          <w:szCs w:val="28"/>
        </w:rPr>
      </w:pPr>
      <w:r w:rsidRPr="001C3139">
        <w:rPr>
          <w:b/>
          <w:sz w:val="28"/>
          <w:szCs w:val="28"/>
        </w:rPr>
        <w:t>платы</w:t>
      </w:r>
      <w:r>
        <w:rPr>
          <w:b/>
          <w:sz w:val="28"/>
          <w:szCs w:val="28"/>
        </w:rPr>
        <w:t xml:space="preserve"> </w:t>
      </w:r>
      <w:r w:rsidRPr="001C3139">
        <w:rPr>
          <w:b/>
          <w:sz w:val="28"/>
          <w:szCs w:val="28"/>
        </w:rPr>
        <w:t>за земельные участки</w:t>
      </w:r>
      <w:r>
        <w:rPr>
          <w:b/>
          <w:sz w:val="28"/>
          <w:szCs w:val="28"/>
        </w:rPr>
        <w:t xml:space="preserve"> </w:t>
      </w:r>
      <w:r w:rsidRPr="001C3139">
        <w:rPr>
          <w:b/>
          <w:sz w:val="28"/>
          <w:szCs w:val="28"/>
        </w:rPr>
        <w:t>на территории сельских</w:t>
      </w:r>
    </w:p>
    <w:p w:rsidR="001C3139" w:rsidRPr="001C3139" w:rsidRDefault="001C3139" w:rsidP="001C3139">
      <w:pPr>
        <w:spacing w:line="240" w:lineRule="exact"/>
        <w:jc w:val="center"/>
        <w:rPr>
          <w:b/>
          <w:bCs/>
          <w:sz w:val="28"/>
          <w:szCs w:val="28"/>
        </w:rPr>
      </w:pPr>
      <w:r w:rsidRPr="001C3139">
        <w:rPr>
          <w:b/>
          <w:sz w:val="28"/>
          <w:szCs w:val="28"/>
        </w:rPr>
        <w:t>поселений Валдайского</w:t>
      </w:r>
      <w:r>
        <w:rPr>
          <w:b/>
          <w:sz w:val="28"/>
          <w:szCs w:val="28"/>
        </w:rPr>
        <w:t xml:space="preserve"> </w:t>
      </w:r>
      <w:r w:rsidRPr="001C3139">
        <w:rPr>
          <w:b/>
          <w:sz w:val="28"/>
          <w:szCs w:val="28"/>
        </w:rPr>
        <w:t>муниципального района</w:t>
      </w:r>
    </w:p>
    <w:p w:rsidR="00260ABA" w:rsidRPr="00425EEA" w:rsidRDefault="00260ABA" w:rsidP="001C3139">
      <w:pPr>
        <w:ind w:firstLine="709"/>
        <w:jc w:val="both"/>
        <w:rPr>
          <w:bCs/>
          <w:color w:val="000000"/>
          <w:sz w:val="24"/>
          <w:szCs w:val="24"/>
        </w:rPr>
      </w:pPr>
    </w:p>
    <w:p w:rsidR="00260ABA" w:rsidRPr="00425EEA" w:rsidRDefault="00260ABA" w:rsidP="001C3139">
      <w:pPr>
        <w:ind w:firstLine="709"/>
        <w:jc w:val="both"/>
        <w:rPr>
          <w:sz w:val="24"/>
          <w:szCs w:val="24"/>
        </w:rPr>
      </w:pPr>
    </w:p>
    <w:p w:rsidR="00260ABA" w:rsidRPr="001C3139" w:rsidRDefault="00260ABA" w:rsidP="001C3139">
      <w:pPr>
        <w:ind w:firstLine="709"/>
        <w:jc w:val="both"/>
        <w:rPr>
          <w:b/>
          <w:sz w:val="28"/>
          <w:szCs w:val="28"/>
        </w:rPr>
      </w:pPr>
      <w:r w:rsidRPr="001C3139">
        <w:rPr>
          <w:b/>
          <w:sz w:val="28"/>
          <w:szCs w:val="28"/>
        </w:rPr>
        <w:t xml:space="preserve">Принято Думой Валдайского </w:t>
      </w:r>
      <w:r w:rsidR="00D457D4" w:rsidRPr="001C3139">
        <w:rPr>
          <w:b/>
          <w:sz w:val="28"/>
          <w:szCs w:val="28"/>
        </w:rPr>
        <w:t xml:space="preserve">муниципального района </w:t>
      </w:r>
      <w:r w:rsidR="001C3139" w:rsidRPr="00BC7256">
        <w:rPr>
          <w:b/>
          <w:sz w:val="28"/>
          <w:szCs w:val="28"/>
        </w:rPr>
        <w:t>27 декабря</w:t>
      </w:r>
      <w:r w:rsidRPr="001C3139">
        <w:rPr>
          <w:b/>
          <w:sz w:val="28"/>
          <w:szCs w:val="28"/>
        </w:rPr>
        <w:t xml:space="preserve"> 2023</w:t>
      </w:r>
      <w:r w:rsidRPr="001C3139">
        <w:rPr>
          <w:sz w:val="28"/>
          <w:szCs w:val="28"/>
        </w:rPr>
        <w:t> </w:t>
      </w:r>
      <w:r w:rsidRPr="001C3139">
        <w:rPr>
          <w:b/>
          <w:sz w:val="28"/>
          <w:szCs w:val="28"/>
        </w:rPr>
        <w:t>г</w:t>
      </w:r>
      <w:r w:rsidRPr="001C3139">
        <w:rPr>
          <w:b/>
          <w:sz w:val="28"/>
          <w:szCs w:val="28"/>
        </w:rPr>
        <w:t>о</w:t>
      </w:r>
      <w:r w:rsidRPr="001C3139">
        <w:rPr>
          <w:b/>
          <w:sz w:val="28"/>
          <w:szCs w:val="28"/>
        </w:rPr>
        <w:t>да</w:t>
      </w:r>
    </w:p>
    <w:p w:rsidR="00F83FDE" w:rsidRPr="001C3139" w:rsidRDefault="00F83FDE" w:rsidP="001C3139">
      <w:pPr>
        <w:ind w:firstLine="709"/>
        <w:jc w:val="both"/>
        <w:rPr>
          <w:color w:val="000000"/>
          <w:sz w:val="16"/>
          <w:szCs w:val="16"/>
        </w:rPr>
      </w:pPr>
    </w:p>
    <w:p w:rsidR="001C3139" w:rsidRPr="001C3139" w:rsidRDefault="001C3139" w:rsidP="001C3139">
      <w:pPr>
        <w:ind w:firstLine="709"/>
        <w:jc w:val="both"/>
        <w:rPr>
          <w:sz w:val="28"/>
          <w:szCs w:val="28"/>
        </w:rPr>
      </w:pPr>
      <w:r w:rsidRPr="001C3139">
        <w:rPr>
          <w:sz w:val="28"/>
          <w:szCs w:val="28"/>
        </w:rPr>
        <w:t>В соответствии с Земельным кодексом Российской Федерации, Федерал</w:t>
      </w:r>
      <w:r w:rsidRPr="001C3139">
        <w:rPr>
          <w:sz w:val="28"/>
          <w:szCs w:val="28"/>
        </w:rPr>
        <w:t>ь</w:t>
      </w:r>
      <w:r w:rsidRPr="001C3139">
        <w:rPr>
          <w:sz w:val="28"/>
          <w:szCs w:val="28"/>
        </w:rPr>
        <w:t>ным законом от 2</w:t>
      </w:r>
      <w:r w:rsidR="00425EEA">
        <w:rPr>
          <w:sz w:val="28"/>
          <w:szCs w:val="28"/>
        </w:rPr>
        <w:t>5 октября 2001 года № 137-ФЗ «</w:t>
      </w:r>
      <w:r w:rsidRPr="001C3139">
        <w:rPr>
          <w:sz w:val="28"/>
          <w:szCs w:val="28"/>
        </w:rPr>
        <w:t>О введении в действие Земельно</w:t>
      </w:r>
      <w:r w:rsidR="00425EEA">
        <w:rPr>
          <w:sz w:val="28"/>
          <w:szCs w:val="28"/>
        </w:rPr>
        <w:t>го кодекса Российской Федерации»</w:t>
      </w:r>
      <w:r w:rsidRPr="001C3139">
        <w:rPr>
          <w:sz w:val="28"/>
          <w:szCs w:val="28"/>
        </w:rPr>
        <w:t>, облас</w:t>
      </w:r>
      <w:r w:rsidRPr="001C3139">
        <w:rPr>
          <w:sz w:val="28"/>
          <w:szCs w:val="28"/>
        </w:rPr>
        <w:t>т</w:t>
      </w:r>
      <w:r w:rsidRPr="001C3139">
        <w:rPr>
          <w:sz w:val="28"/>
          <w:szCs w:val="28"/>
        </w:rPr>
        <w:t>ным законом от 27.04.2015 № 763-ОЗ «О предоставлении земельных участков на территории Новгородской области», постановлением Правительства Новгородской облас</w:t>
      </w:r>
      <w:r w:rsidR="00425EEA">
        <w:rPr>
          <w:sz w:val="28"/>
          <w:szCs w:val="28"/>
        </w:rPr>
        <w:t>ти от 01.03.2016 №</w:t>
      </w:r>
      <w:r w:rsidRPr="001C3139">
        <w:rPr>
          <w:sz w:val="28"/>
          <w:szCs w:val="28"/>
        </w:rPr>
        <w:t xml:space="preserve"> 89 «Об утве</w:t>
      </w:r>
      <w:r w:rsidRPr="001C3139">
        <w:rPr>
          <w:sz w:val="28"/>
          <w:szCs w:val="28"/>
        </w:rPr>
        <w:t>р</w:t>
      </w:r>
      <w:r w:rsidRPr="001C3139">
        <w:rPr>
          <w:sz w:val="28"/>
          <w:szCs w:val="28"/>
        </w:rPr>
        <w:t xml:space="preserve">ждении </w:t>
      </w:r>
      <w:hyperlink r:id="rId8" w:history="1">
        <w:r w:rsidRPr="001C3139">
          <w:rPr>
            <w:bCs/>
            <w:sz w:val="28"/>
            <w:szCs w:val="28"/>
          </w:rPr>
          <w:t>Порядк</w:t>
        </w:r>
      </w:hyperlink>
      <w:r w:rsidRPr="001C3139">
        <w:rPr>
          <w:bCs/>
          <w:sz w:val="28"/>
          <w:szCs w:val="28"/>
        </w:rPr>
        <w:t>а определения размера арендной платы за земельные участки, находящиеся в собственности Новгородской области, и земельные участки, гос</w:t>
      </w:r>
      <w:r w:rsidRPr="001C3139">
        <w:rPr>
          <w:bCs/>
          <w:sz w:val="28"/>
          <w:szCs w:val="28"/>
        </w:rPr>
        <w:t>у</w:t>
      </w:r>
      <w:r w:rsidRPr="001C3139">
        <w:rPr>
          <w:bCs/>
          <w:sz w:val="28"/>
          <w:szCs w:val="28"/>
        </w:rPr>
        <w:t>дарственная собственность на которые не разграничена, предоставленные в аре</w:t>
      </w:r>
      <w:r w:rsidRPr="001C3139">
        <w:rPr>
          <w:bCs/>
          <w:sz w:val="28"/>
          <w:szCs w:val="28"/>
        </w:rPr>
        <w:t>н</w:t>
      </w:r>
      <w:r w:rsidRPr="001C3139">
        <w:rPr>
          <w:bCs/>
          <w:sz w:val="28"/>
          <w:szCs w:val="28"/>
        </w:rPr>
        <w:t>ду без торгов»</w:t>
      </w:r>
      <w:r w:rsidR="00425EEA">
        <w:rPr>
          <w:bCs/>
          <w:sz w:val="28"/>
          <w:szCs w:val="28"/>
        </w:rPr>
        <w:t xml:space="preserve"> </w:t>
      </w:r>
      <w:r w:rsidRPr="001C3139">
        <w:rPr>
          <w:sz w:val="28"/>
          <w:szCs w:val="28"/>
        </w:rPr>
        <w:t xml:space="preserve">Дума Валдайского муниципального района </w:t>
      </w:r>
      <w:r w:rsidRPr="001C3139">
        <w:rPr>
          <w:b/>
          <w:sz w:val="28"/>
          <w:szCs w:val="28"/>
        </w:rPr>
        <w:t>РЕШИЛА:</w:t>
      </w:r>
    </w:p>
    <w:p w:rsidR="001C3139" w:rsidRPr="001C3139" w:rsidRDefault="001C3139" w:rsidP="001C3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139">
        <w:rPr>
          <w:rFonts w:ascii="Times New Roman" w:hAnsi="Times New Roman" w:cs="Times New Roman"/>
          <w:sz w:val="28"/>
          <w:szCs w:val="28"/>
        </w:rPr>
        <w:t xml:space="preserve">1. Утвердить на 2024 год прилагаемые коэффициенты, устанавливаемые в процентах от кадастровой стоимости </w:t>
      </w:r>
      <w:r w:rsidR="000C1B12" w:rsidRPr="00BC7256">
        <w:rPr>
          <w:rFonts w:ascii="Times New Roman" w:hAnsi="Times New Roman" w:cs="Times New Roman"/>
          <w:sz w:val="28"/>
          <w:szCs w:val="28"/>
        </w:rPr>
        <w:t>земельных</w:t>
      </w:r>
      <w:r w:rsidRPr="00BC725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C1B12" w:rsidRPr="00BC7256">
        <w:rPr>
          <w:rFonts w:ascii="Times New Roman" w:hAnsi="Times New Roman" w:cs="Times New Roman"/>
          <w:sz w:val="28"/>
          <w:szCs w:val="28"/>
        </w:rPr>
        <w:t>ов</w:t>
      </w:r>
      <w:r w:rsidRPr="001C3139">
        <w:rPr>
          <w:rFonts w:ascii="Times New Roman" w:hAnsi="Times New Roman" w:cs="Times New Roman"/>
          <w:sz w:val="28"/>
          <w:szCs w:val="28"/>
        </w:rPr>
        <w:t>, определяемые для ра</w:t>
      </w:r>
      <w:r w:rsidRPr="001C3139">
        <w:rPr>
          <w:rFonts w:ascii="Times New Roman" w:hAnsi="Times New Roman" w:cs="Times New Roman"/>
          <w:sz w:val="28"/>
          <w:szCs w:val="28"/>
        </w:rPr>
        <w:t>з</w:t>
      </w:r>
      <w:r w:rsidRPr="001C3139">
        <w:rPr>
          <w:rFonts w:ascii="Times New Roman" w:hAnsi="Times New Roman" w:cs="Times New Roman"/>
          <w:sz w:val="28"/>
          <w:szCs w:val="28"/>
        </w:rPr>
        <w:t>личных видов функционального использования земельных участков при определении размера арендной платы за земельные участки на территории сел</w:t>
      </w:r>
      <w:r w:rsidRPr="001C3139">
        <w:rPr>
          <w:rFonts w:ascii="Times New Roman" w:hAnsi="Times New Roman" w:cs="Times New Roman"/>
          <w:sz w:val="28"/>
          <w:szCs w:val="28"/>
        </w:rPr>
        <w:t>ь</w:t>
      </w:r>
      <w:r w:rsidRPr="001C3139">
        <w:rPr>
          <w:rFonts w:ascii="Times New Roman" w:hAnsi="Times New Roman" w:cs="Times New Roman"/>
          <w:sz w:val="28"/>
          <w:szCs w:val="28"/>
        </w:rPr>
        <w:t>ских поселений Валдайского муниципального района для земельных участков, нах</w:t>
      </w:r>
      <w:r w:rsidRPr="001C3139">
        <w:rPr>
          <w:rFonts w:ascii="Times New Roman" w:hAnsi="Times New Roman" w:cs="Times New Roman"/>
          <w:sz w:val="28"/>
          <w:szCs w:val="28"/>
        </w:rPr>
        <w:t>о</w:t>
      </w:r>
      <w:r w:rsidRPr="001C3139">
        <w:rPr>
          <w:rFonts w:ascii="Times New Roman" w:hAnsi="Times New Roman" w:cs="Times New Roman"/>
          <w:sz w:val="28"/>
          <w:szCs w:val="28"/>
        </w:rPr>
        <w:t>дящихся в муниципальной собственности или государственная собственность на которые не разгран</w:t>
      </w:r>
      <w:r w:rsidRPr="001C3139">
        <w:rPr>
          <w:rFonts w:ascii="Times New Roman" w:hAnsi="Times New Roman" w:cs="Times New Roman"/>
          <w:sz w:val="28"/>
          <w:szCs w:val="28"/>
        </w:rPr>
        <w:t>и</w:t>
      </w:r>
      <w:r w:rsidRPr="001C3139">
        <w:rPr>
          <w:rFonts w:ascii="Times New Roman" w:hAnsi="Times New Roman" w:cs="Times New Roman"/>
          <w:sz w:val="28"/>
          <w:szCs w:val="28"/>
        </w:rPr>
        <w:t>чена.</w:t>
      </w:r>
    </w:p>
    <w:p w:rsidR="001C3139" w:rsidRPr="001C3139" w:rsidRDefault="001C3139" w:rsidP="001C3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139">
        <w:rPr>
          <w:rFonts w:ascii="Times New Roman" w:hAnsi="Times New Roman" w:cs="Times New Roman"/>
          <w:sz w:val="28"/>
          <w:szCs w:val="28"/>
        </w:rPr>
        <w:t xml:space="preserve">2. </w:t>
      </w:r>
      <w:r w:rsidR="00425EEA">
        <w:rPr>
          <w:rFonts w:ascii="Times New Roman" w:hAnsi="Times New Roman" w:cs="Times New Roman"/>
          <w:sz w:val="28"/>
          <w:szCs w:val="28"/>
        </w:rPr>
        <w:t>Р</w:t>
      </w:r>
      <w:r w:rsidRPr="001C3139">
        <w:rPr>
          <w:rFonts w:ascii="Times New Roman" w:hAnsi="Times New Roman" w:cs="Times New Roman"/>
          <w:sz w:val="28"/>
          <w:szCs w:val="28"/>
        </w:rPr>
        <w:t>ешение вступает в силу с 01.01.2024 года.</w:t>
      </w:r>
    </w:p>
    <w:p w:rsidR="001C3139" w:rsidRPr="001C3139" w:rsidRDefault="001C3139" w:rsidP="001C3139">
      <w:pPr>
        <w:ind w:firstLine="709"/>
        <w:jc w:val="both"/>
        <w:rPr>
          <w:sz w:val="28"/>
          <w:szCs w:val="28"/>
        </w:rPr>
      </w:pPr>
      <w:r w:rsidRPr="001C3139">
        <w:rPr>
          <w:sz w:val="28"/>
          <w:szCs w:val="28"/>
        </w:rPr>
        <w:t>3. Опубликовать решение в бюллетене «Валдайский Вестник» и разместить на официальном сайте Администрации Валдайского муниципального ра</w:t>
      </w:r>
      <w:r w:rsidRPr="001C3139">
        <w:rPr>
          <w:sz w:val="28"/>
          <w:szCs w:val="28"/>
        </w:rPr>
        <w:t>й</w:t>
      </w:r>
      <w:r w:rsidRPr="001C3139">
        <w:rPr>
          <w:sz w:val="28"/>
          <w:szCs w:val="28"/>
        </w:rPr>
        <w:t>она в сети «Интернет».</w:t>
      </w:r>
    </w:p>
    <w:p w:rsidR="00B14017" w:rsidRPr="00425EEA" w:rsidRDefault="00B14017" w:rsidP="001C3139">
      <w:pPr>
        <w:ind w:firstLine="709"/>
        <w:jc w:val="both"/>
        <w:rPr>
          <w:color w:val="000000"/>
          <w:sz w:val="24"/>
          <w:szCs w:val="24"/>
        </w:rPr>
      </w:pPr>
    </w:p>
    <w:p w:rsidR="00425EEA" w:rsidRPr="00425EEA" w:rsidRDefault="00425EEA" w:rsidP="001C3139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425EEA" w:rsidTr="00BC7256">
        <w:trPr>
          <w:trHeight w:val="1247"/>
        </w:trPr>
        <w:tc>
          <w:tcPr>
            <w:tcW w:w="2500" w:type="pct"/>
          </w:tcPr>
          <w:p w:rsidR="00425EEA" w:rsidRPr="00516020" w:rsidRDefault="00425EEA" w:rsidP="00A57FFB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425EEA" w:rsidRPr="00516020" w:rsidRDefault="00425EEA" w:rsidP="00A57FF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25EEA" w:rsidRPr="00516020" w:rsidRDefault="00425EEA" w:rsidP="00A57FF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25EEA" w:rsidRPr="00516020" w:rsidRDefault="00425EEA" w:rsidP="00A57FF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425EEA" w:rsidRPr="00516020" w:rsidRDefault="00425EEA" w:rsidP="00A57F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25EEA" w:rsidRPr="00516020" w:rsidRDefault="00425EEA" w:rsidP="00A57FFB">
            <w:pPr>
              <w:jc w:val="both"/>
              <w:rPr>
                <w:color w:val="000000"/>
                <w:sz w:val="28"/>
                <w:szCs w:val="28"/>
              </w:rPr>
            </w:pPr>
            <w:r w:rsidRPr="00BC7256">
              <w:rPr>
                <w:color w:val="000000"/>
                <w:sz w:val="28"/>
                <w:szCs w:val="28"/>
              </w:rPr>
              <w:t>«27» декабря</w:t>
            </w:r>
            <w:r w:rsidRPr="00C27979">
              <w:rPr>
                <w:color w:val="000000"/>
                <w:sz w:val="28"/>
                <w:szCs w:val="28"/>
              </w:rPr>
              <w:t xml:space="preserve"> 2023 года №</w:t>
            </w:r>
            <w:r w:rsidRPr="00516020">
              <w:rPr>
                <w:color w:val="000000"/>
                <w:sz w:val="28"/>
                <w:szCs w:val="28"/>
              </w:rPr>
              <w:t xml:space="preserve"> </w:t>
            </w:r>
            <w:r w:rsidR="00550039">
              <w:rPr>
                <w:color w:val="000000"/>
                <w:sz w:val="28"/>
                <w:szCs w:val="28"/>
              </w:rPr>
              <w:t>28</w:t>
            </w:r>
            <w:r w:rsidR="00F254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</w:tcPr>
          <w:p w:rsidR="00425EEA" w:rsidRPr="00516020" w:rsidRDefault="00425EEA" w:rsidP="00A57FFB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425EEA" w:rsidRPr="00516020" w:rsidRDefault="00425EEA" w:rsidP="00A57FF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425EEA" w:rsidRPr="00516020" w:rsidRDefault="00425EEA" w:rsidP="00A57FF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25EEA" w:rsidRPr="00516020" w:rsidRDefault="00425EEA" w:rsidP="00A57FF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25EEA" w:rsidRPr="00E23197" w:rsidRDefault="00425EEA" w:rsidP="00A57FF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425EEA" w:rsidRPr="00E23197" w:rsidRDefault="00425EEA" w:rsidP="00A57FF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C7256" w:rsidRDefault="00BC7256" w:rsidP="00BC7256">
      <w:pPr>
        <w:pStyle w:val="ConsPlusNormal"/>
        <w:spacing w:line="240" w:lineRule="exact"/>
        <w:ind w:left="567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5EEA" w:rsidRPr="00BC7256" w:rsidRDefault="00BC7256" w:rsidP="00BC7256">
      <w:pPr>
        <w:pStyle w:val="ConsPlusNormal"/>
        <w:spacing w:line="240" w:lineRule="exact"/>
        <w:ind w:left="567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C725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25EEA" w:rsidRPr="00BC7256" w:rsidRDefault="00425EEA" w:rsidP="00BC7256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7256">
        <w:rPr>
          <w:rFonts w:ascii="Times New Roman" w:hAnsi="Times New Roman" w:cs="Times New Roman"/>
          <w:sz w:val="24"/>
          <w:szCs w:val="24"/>
        </w:rPr>
        <w:t>решением Думы Валдайского</w:t>
      </w:r>
    </w:p>
    <w:p w:rsidR="00425EEA" w:rsidRPr="00BC7256" w:rsidRDefault="00425EEA" w:rsidP="00BC7256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725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25EEA" w:rsidRPr="008D1B8F" w:rsidRDefault="00BC7256" w:rsidP="00BC7256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27.12.2023 № </w:t>
      </w:r>
      <w:r w:rsidR="00F2549C">
        <w:rPr>
          <w:rFonts w:ascii="Times New Roman" w:hAnsi="Times New Roman" w:cs="Times New Roman"/>
          <w:sz w:val="24"/>
          <w:szCs w:val="24"/>
        </w:rPr>
        <w:t>281</w:t>
      </w:r>
    </w:p>
    <w:p w:rsidR="00425EEA" w:rsidRPr="00BC7256" w:rsidRDefault="00425EEA" w:rsidP="00425EEA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425EEA" w:rsidRPr="00BC7256" w:rsidRDefault="00BC7256" w:rsidP="00BC725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C7256">
        <w:rPr>
          <w:sz w:val="28"/>
          <w:szCs w:val="28"/>
        </w:rPr>
        <w:t>Коэффициенты, устанавливаемые в процентах от к</w:t>
      </w:r>
      <w:r w:rsidRPr="00BC7256">
        <w:rPr>
          <w:sz w:val="28"/>
          <w:szCs w:val="28"/>
        </w:rPr>
        <w:t>а</w:t>
      </w:r>
      <w:r w:rsidRPr="00BC7256">
        <w:rPr>
          <w:sz w:val="28"/>
          <w:szCs w:val="28"/>
        </w:rPr>
        <w:t>дастровой</w:t>
      </w:r>
    </w:p>
    <w:p w:rsidR="00425EEA" w:rsidRPr="00BC7256" w:rsidRDefault="00BC7256" w:rsidP="00BC725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C7256">
        <w:rPr>
          <w:sz w:val="28"/>
          <w:szCs w:val="28"/>
        </w:rPr>
        <w:t>стоимости земельных участков, определяемые для различных</w:t>
      </w:r>
    </w:p>
    <w:p w:rsidR="00BC7256" w:rsidRDefault="00BC7256" w:rsidP="00BC725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C7256">
        <w:rPr>
          <w:sz w:val="28"/>
          <w:szCs w:val="28"/>
        </w:rPr>
        <w:t>видов функционального использования земельных участков</w:t>
      </w:r>
    </w:p>
    <w:p w:rsidR="00BC7256" w:rsidRDefault="00BC7256" w:rsidP="00BC725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 определен</w:t>
      </w:r>
      <w:r w:rsidRPr="00BC7256">
        <w:rPr>
          <w:sz w:val="28"/>
          <w:szCs w:val="28"/>
        </w:rPr>
        <w:t xml:space="preserve">ии размера арендной платы за земельные </w:t>
      </w:r>
    </w:p>
    <w:p w:rsidR="00425EEA" w:rsidRPr="00BC7256" w:rsidRDefault="00BC7256" w:rsidP="00BC725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C7256">
        <w:rPr>
          <w:sz w:val="28"/>
          <w:szCs w:val="28"/>
        </w:rPr>
        <w:t>учас</w:t>
      </w:r>
      <w:r w:rsidRPr="00BC7256">
        <w:rPr>
          <w:sz w:val="28"/>
          <w:szCs w:val="28"/>
        </w:rPr>
        <w:t>т</w:t>
      </w:r>
      <w:r w:rsidRPr="00BC7256">
        <w:rPr>
          <w:sz w:val="28"/>
          <w:szCs w:val="28"/>
        </w:rPr>
        <w:t>ки на территории сельских поселений</w:t>
      </w:r>
      <w:r>
        <w:rPr>
          <w:sz w:val="28"/>
          <w:szCs w:val="28"/>
        </w:rPr>
        <w:t xml:space="preserve"> </w:t>
      </w:r>
    </w:p>
    <w:p w:rsidR="00425EEA" w:rsidRPr="00BC7256" w:rsidRDefault="00BC7256" w:rsidP="00BC725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C7256">
        <w:rPr>
          <w:sz w:val="28"/>
          <w:szCs w:val="28"/>
        </w:rPr>
        <w:t>Валдайского муниципальн</w:t>
      </w:r>
      <w:r w:rsidRPr="00BC7256">
        <w:rPr>
          <w:sz w:val="28"/>
          <w:szCs w:val="28"/>
        </w:rPr>
        <w:t>о</w:t>
      </w:r>
      <w:r w:rsidRPr="00BC7256">
        <w:rPr>
          <w:sz w:val="28"/>
          <w:szCs w:val="28"/>
        </w:rPr>
        <w:t>го района на 2024 год</w:t>
      </w:r>
    </w:p>
    <w:p w:rsidR="00425EEA" w:rsidRPr="000C1B12" w:rsidRDefault="00425EEA" w:rsidP="00425EEA">
      <w:pPr>
        <w:pStyle w:val="ConsPlusTitle"/>
        <w:widowControl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40"/>
      </w:tblPr>
      <w:tblGrid>
        <w:gridCol w:w="1281"/>
        <w:gridCol w:w="6566"/>
        <w:gridCol w:w="1518"/>
      </w:tblGrid>
      <w:tr w:rsidR="00425EEA" w:rsidRPr="00A57FFB" w:rsidTr="00A57FFB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425EEA" w:rsidRPr="00A57FFB" w:rsidRDefault="00425EEA" w:rsidP="00BC72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57FFB">
              <w:rPr>
                <w:b/>
                <w:sz w:val="24"/>
                <w:szCs w:val="24"/>
              </w:rPr>
              <w:t>Функциональное использование земельных участков,</w:t>
            </w:r>
          </w:p>
          <w:p w:rsidR="00425EEA" w:rsidRPr="00A57FFB" w:rsidRDefault="00425EEA" w:rsidP="00BC72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57FFB">
              <w:rPr>
                <w:b/>
                <w:sz w:val="24"/>
                <w:szCs w:val="24"/>
              </w:rPr>
              <w:t>катег</w:t>
            </w:r>
            <w:r w:rsidRPr="00A57FFB">
              <w:rPr>
                <w:b/>
                <w:sz w:val="24"/>
                <w:szCs w:val="24"/>
              </w:rPr>
              <w:t>о</w:t>
            </w:r>
            <w:r w:rsidRPr="00A57FFB">
              <w:rPr>
                <w:b/>
                <w:sz w:val="24"/>
                <w:szCs w:val="24"/>
              </w:rPr>
              <w:t>рия земель</w:t>
            </w:r>
          </w:p>
        </w:tc>
        <w:tc>
          <w:tcPr>
            <w:tcW w:w="0" w:type="auto"/>
            <w:vAlign w:val="center"/>
          </w:tcPr>
          <w:p w:rsidR="00425EEA" w:rsidRPr="00A57FFB" w:rsidRDefault="00425EEA" w:rsidP="00BC72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57FFB">
              <w:rPr>
                <w:b/>
                <w:sz w:val="24"/>
                <w:szCs w:val="24"/>
              </w:rPr>
              <w:t>Коэффиц</w:t>
            </w:r>
            <w:r w:rsidRPr="00A57FFB">
              <w:rPr>
                <w:b/>
                <w:sz w:val="24"/>
                <w:szCs w:val="24"/>
              </w:rPr>
              <w:t>и</w:t>
            </w:r>
            <w:r w:rsidRPr="00A57FFB">
              <w:rPr>
                <w:b/>
                <w:sz w:val="24"/>
                <w:szCs w:val="24"/>
              </w:rPr>
              <w:t>ент</w:t>
            </w:r>
            <w:r w:rsidRPr="00A57FFB">
              <w:rPr>
                <w:b/>
                <w:sz w:val="24"/>
                <w:szCs w:val="24"/>
              </w:rPr>
              <w:br/>
              <w:t>(процент от</w:t>
            </w:r>
            <w:r w:rsidRPr="00A57FFB">
              <w:rPr>
                <w:b/>
                <w:sz w:val="24"/>
                <w:szCs w:val="24"/>
              </w:rPr>
              <w:br/>
              <w:t>кадастр</w:t>
            </w:r>
            <w:r w:rsidRPr="00A57FFB">
              <w:rPr>
                <w:b/>
                <w:sz w:val="24"/>
                <w:szCs w:val="24"/>
              </w:rPr>
              <w:t>о</w:t>
            </w:r>
            <w:r w:rsidRPr="00A57FFB">
              <w:rPr>
                <w:b/>
                <w:sz w:val="24"/>
                <w:szCs w:val="24"/>
              </w:rPr>
              <w:t>вой</w:t>
            </w:r>
            <w:r w:rsidRPr="00A57FFB">
              <w:rPr>
                <w:b/>
                <w:sz w:val="24"/>
                <w:szCs w:val="24"/>
              </w:rPr>
              <w:br/>
              <w:t>стоим</w:t>
            </w:r>
            <w:r w:rsidRPr="00A57FFB">
              <w:rPr>
                <w:b/>
                <w:sz w:val="24"/>
                <w:szCs w:val="24"/>
              </w:rPr>
              <w:t>о</w:t>
            </w:r>
            <w:r w:rsidRPr="00A57FFB">
              <w:rPr>
                <w:b/>
                <w:sz w:val="24"/>
                <w:szCs w:val="24"/>
              </w:rPr>
              <w:t xml:space="preserve">сти </w:t>
            </w:r>
            <w:r w:rsidRPr="00A57FFB">
              <w:rPr>
                <w:b/>
                <w:sz w:val="24"/>
                <w:szCs w:val="24"/>
              </w:rPr>
              <w:br/>
              <w:t>земел</w:t>
            </w:r>
            <w:r w:rsidRPr="00A57FFB">
              <w:rPr>
                <w:b/>
                <w:sz w:val="24"/>
                <w:szCs w:val="24"/>
              </w:rPr>
              <w:t>ь</w:t>
            </w:r>
            <w:r w:rsidRPr="00A57FFB">
              <w:rPr>
                <w:b/>
                <w:sz w:val="24"/>
                <w:szCs w:val="24"/>
              </w:rPr>
              <w:t xml:space="preserve">ного </w:t>
            </w:r>
            <w:r w:rsidRPr="00A57FFB">
              <w:rPr>
                <w:b/>
                <w:sz w:val="24"/>
                <w:szCs w:val="24"/>
              </w:rPr>
              <w:br/>
              <w:t>участка)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 w:val="restart"/>
          </w:tcPr>
          <w:p w:rsidR="00425EEA" w:rsidRPr="00A57FFB" w:rsidRDefault="000C1B12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1.</w:t>
            </w:r>
            <w:r w:rsidR="008C5FEF" w:rsidRPr="00A57FFB">
              <w:rPr>
                <w:sz w:val="24"/>
                <w:szCs w:val="24"/>
              </w:rPr>
              <w:t xml:space="preserve"> </w:t>
            </w:r>
            <w:r w:rsidRPr="00A57FFB">
              <w:rPr>
                <w:sz w:val="24"/>
                <w:szCs w:val="24"/>
              </w:rPr>
              <w:t xml:space="preserve">Земли </w:t>
            </w:r>
            <w:r w:rsidR="00425EEA" w:rsidRPr="00A57FFB">
              <w:rPr>
                <w:sz w:val="24"/>
                <w:szCs w:val="24"/>
              </w:rPr>
              <w:t>населё</w:t>
            </w:r>
            <w:r w:rsidR="00425EEA" w:rsidRPr="00A57FFB">
              <w:rPr>
                <w:sz w:val="24"/>
                <w:szCs w:val="24"/>
              </w:rPr>
              <w:t>н</w:t>
            </w:r>
            <w:r w:rsidR="00425EEA" w:rsidRPr="00A57FFB">
              <w:rPr>
                <w:sz w:val="24"/>
                <w:szCs w:val="24"/>
              </w:rPr>
              <w:t>ных</w:t>
            </w:r>
            <w:r w:rsidRPr="00A57FFB">
              <w:rPr>
                <w:sz w:val="24"/>
                <w:szCs w:val="24"/>
              </w:rPr>
              <w:t xml:space="preserve"> </w:t>
            </w:r>
            <w:r w:rsidR="00425EEA" w:rsidRPr="00A57FFB">
              <w:rPr>
                <w:sz w:val="24"/>
                <w:szCs w:val="24"/>
              </w:rPr>
              <w:t xml:space="preserve">пунктов </w:t>
            </w: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Личные подсобные хозяйства (приусадебные з</w:t>
            </w:r>
            <w:r w:rsidRPr="00A57FFB">
              <w:rPr>
                <w:sz w:val="24"/>
                <w:szCs w:val="24"/>
              </w:rPr>
              <w:t>е</w:t>
            </w:r>
            <w:r w:rsidRPr="00A57FFB">
              <w:rPr>
                <w:sz w:val="24"/>
                <w:szCs w:val="24"/>
              </w:rPr>
              <w:t>мельные участки), садоводство, огородничество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 для прочих видов сельскох</w:t>
            </w:r>
            <w:r w:rsidRPr="00A57FFB">
              <w:rPr>
                <w:sz w:val="24"/>
                <w:szCs w:val="24"/>
              </w:rPr>
              <w:t>о</w:t>
            </w:r>
            <w:r w:rsidRPr="00A57FFB">
              <w:rPr>
                <w:sz w:val="24"/>
                <w:szCs w:val="24"/>
              </w:rPr>
              <w:t>зяйственного использования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 xml:space="preserve">0,3 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И</w:t>
            </w:r>
            <w:r w:rsidRPr="00A57FFB">
              <w:rPr>
                <w:sz w:val="24"/>
                <w:szCs w:val="24"/>
              </w:rPr>
              <w:t>н</w:t>
            </w:r>
            <w:r w:rsidRPr="00A57FFB">
              <w:rPr>
                <w:sz w:val="24"/>
                <w:szCs w:val="24"/>
              </w:rPr>
              <w:t>дивидуальное жилищное строительство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Для размещения индивидуальных гар</w:t>
            </w:r>
            <w:r w:rsidRPr="00A57FFB">
              <w:rPr>
                <w:sz w:val="24"/>
                <w:szCs w:val="24"/>
              </w:rPr>
              <w:t>а</w:t>
            </w:r>
            <w:r w:rsidRPr="00A57FFB">
              <w:rPr>
                <w:sz w:val="24"/>
                <w:szCs w:val="24"/>
              </w:rPr>
              <w:t>жей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предоставленные для рекре</w:t>
            </w:r>
            <w:r w:rsidRPr="00A57FFB">
              <w:rPr>
                <w:sz w:val="24"/>
                <w:szCs w:val="24"/>
              </w:rPr>
              <w:t>а</w:t>
            </w:r>
            <w:r w:rsidRPr="00A57FFB">
              <w:rPr>
                <w:sz w:val="24"/>
                <w:szCs w:val="24"/>
              </w:rPr>
              <w:t>ционных целей, благоустройства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 xml:space="preserve">1,5 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Временные соор</w:t>
            </w:r>
            <w:r w:rsidRPr="00A57FFB">
              <w:rPr>
                <w:sz w:val="24"/>
                <w:szCs w:val="24"/>
              </w:rPr>
              <w:t>у</w:t>
            </w:r>
            <w:r w:rsidRPr="00A57FFB">
              <w:rPr>
                <w:sz w:val="24"/>
                <w:szCs w:val="24"/>
              </w:rPr>
              <w:t>жения:</w:t>
            </w:r>
          </w:p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киоски, павильоны;</w:t>
            </w:r>
          </w:p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рынки</w:t>
            </w:r>
            <w:r w:rsidR="000C1B12" w:rsidRPr="00A57FFB">
              <w:rPr>
                <w:sz w:val="24"/>
                <w:szCs w:val="24"/>
              </w:rPr>
              <w:t>;</w:t>
            </w:r>
          </w:p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малые архитектурные формы для обеспечения отдыха и досуга (аттракционы и др.)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 xml:space="preserve">100 </w:t>
            </w:r>
          </w:p>
          <w:p w:rsidR="00425EEA" w:rsidRPr="00A57FFB" w:rsidRDefault="00BC7256" w:rsidP="00A57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Ст</w:t>
            </w:r>
            <w:r w:rsidRPr="00A57FFB">
              <w:rPr>
                <w:sz w:val="24"/>
                <w:szCs w:val="24"/>
              </w:rPr>
              <w:t>о</w:t>
            </w:r>
            <w:r w:rsidRPr="00A57FFB">
              <w:rPr>
                <w:sz w:val="24"/>
                <w:szCs w:val="24"/>
              </w:rPr>
              <w:t>янки автотранспорта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70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Стоянки автотранспорта (парковки) при гостиницах, туристических комплексах, базах отдыха для обслуживания личного транспорта отдыхающих и транспорта туристических фирм, а также их проектирование и стро</w:t>
            </w:r>
            <w:r w:rsidRPr="00A57FFB">
              <w:rPr>
                <w:sz w:val="24"/>
                <w:szCs w:val="24"/>
              </w:rPr>
              <w:t>и</w:t>
            </w:r>
            <w:r w:rsidRPr="00A57FFB">
              <w:rPr>
                <w:sz w:val="24"/>
                <w:szCs w:val="24"/>
              </w:rPr>
              <w:t>тельство</w:t>
            </w:r>
          </w:p>
        </w:tc>
        <w:tc>
          <w:tcPr>
            <w:tcW w:w="0" w:type="auto"/>
          </w:tcPr>
          <w:p w:rsidR="00425EEA" w:rsidRPr="00A57FFB" w:rsidRDefault="000C1B12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10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Станции технического обслуживания, автомой</w:t>
            </w:r>
            <w:r w:rsidR="000C1B12" w:rsidRPr="00A57FFB">
              <w:rPr>
                <w:sz w:val="24"/>
                <w:szCs w:val="24"/>
              </w:rPr>
              <w:t xml:space="preserve">ки, другие </w:t>
            </w:r>
            <w:r w:rsidRPr="00A57FFB">
              <w:rPr>
                <w:sz w:val="24"/>
                <w:szCs w:val="24"/>
              </w:rPr>
              <w:t>объекты автосервиса, а также их проектирование и стро</w:t>
            </w:r>
            <w:r w:rsidRPr="00A57FFB">
              <w:rPr>
                <w:sz w:val="24"/>
                <w:szCs w:val="24"/>
              </w:rPr>
              <w:t>и</w:t>
            </w:r>
            <w:r w:rsidRPr="00A57FFB">
              <w:rPr>
                <w:sz w:val="24"/>
                <w:szCs w:val="24"/>
              </w:rPr>
              <w:t>тельство</w:t>
            </w:r>
          </w:p>
        </w:tc>
        <w:tc>
          <w:tcPr>
            <w:tcW w:w="0" w:type="auto"/>
          </w:tcPr>
          <w:p w:rsidR="00425EEA" w:rsidRPr="00A57FFB" w:rsidRDefault="000C1B12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3,5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АЗС, АЗК, комплексы придорожного сервиса, а также их проектирование и стро</w:t>
            </w:r>
            <w:r w:rsidRPr="00A57FFB">
              <w:rPr>
                <w:sz w:val="24"/>
                <w:szCs w:val="24"/>
              </w:rPr>
              <w:t>и</w:t>
            </w:r>
            <w:r w:rsidRPr="00A57FFB">
              <w:rPr>
                <w:sz w:val="24"/>
                <w:szCs w:val="24"/>
              </w:rPr>
              <w:t>тельство</w:t>
            </w:r>
          </w:p>
        </w:tc>
        <w:tc>
          <w:tcPr>
            <w:tcW w:w="0" w:type="auto"/>
          </w:tcPr>
          <w:p w:rsidR="00425EEA" w:rsidRPr="00A57FFB" w:rsidRDefault="000C1B12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Строительство многоквартирных жилых домов</w:t>
            </w:r>
          </w:p>
        </w:tc>
        <w:tc>
          <w:tcPr>
            <w:tcW w:w="0" w:type="auto"/>
          </w:tcPr>
          <w:p w:rsidR="00425EEA" w:rsidRPr="00A57FFB" w:rsidRDefault="000C1B12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Объекты стационарной торговли, оказание бытовых и платных услуг, а также их проектирование и строител</w:t>
            </w:r>
            <w:r w:rsidRPr="00A57FFB">
              <w:rPr>
                <w:sz w:val="24"/>
                <w:szCs w:val="24"/>
              </w:rPr>
              <w:t>ь</w:t>
            </w:r>
            <w:r w:rsidRPr="00A57FFB">
              <w:rPr>
                <w:sz w:val="24"/>
                <w:szCs w:val="24"/>
              </w:rPr>
              <w:t>ство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занятые передвижными объектами, обеспечивающими снабжение нас</w:t>
            </w:r>
            <w:r w:rsidRPr="00A57FFB">
              <w:rPr>
                <w:sz w:val="24"/>
                <w:szCs w:val="24"/>
              </w:rPr>
              <w:t>е</w:t>
            </w:r>
            <w:r w:rsidRPr="00A57FFB">
              <w:rPr>
                <w:sz w:val="24"/>
                <w:szCs w:val="24"/>
              </w:rPr>
              <w:t>ления сжиженным баллонным газом</w:t>
            </w:r>
          </w:p>
        </w:tc>
        <w:tc>
          <w:tcPr>
            <w:tcW w:w="0" w:type="auto"/>
          </w:tcPr>
          <w:p w:rsidR="00425EEA" w:rsidRPr="00A57FFB" w:rsidRDefault="000C1B12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10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 под объектами тран</w:t>
            </w:r>
            <w:r w:rsidRPr="00A57FFB">
              <w:rPr>
                <w:sz w:val="24"/>
                <w:szCs w:val="24"/>
              </w:rPr>
              <w:t>с</w:t>
            </w:r>
            <w:r w:rsidR="000C1B12" w:rsidRPr="00A57FFB">
              <w:rPr>
                <w:sz w:val="24"/>
                <w:szCs w:val="24"/>
              </w:rPr>
              <w:t xml:space="preserve">портной </w:t>
            </w:r>
            <w:r w:rsidRPr="00A57FFB">
              <w:rPr>
                <w:sz w:val="24"/>
                <w:szCs w:val="24"/>
              </w:rPr>
              <w:t>инфраструктуры, а также их проектировани</w:t>
            </w:r>
            <w:r w:rsidR="000C1B12" w:rsidRPr="00A57FFB">
              <w:rPr>
                <w:sz w:val="24"/>
                <w:szCs w:val="24"/>
              </w:rPr>
              <w:t xml:space="preserve">е и </w:t>
            </w:r>
            <w:r w:rsidRPr="00A57FFB">
              <w:rPr>
                <w:sz w:val="24"/>
                <w:szCs w:val="24"/>
              </w:rPr>
              <w:t xml:space="preserve">строительство (кроме линейных объектов) 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3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Гостиницы; дома, базы отдыха; рестораны; кафе, ба</w:t>
            </w:r>
            <w:r w:rsidR="000C1B12" w:rsidRPr="00A57FFB">
              <w:rPr>
                <w:sz w:val="24"/>
                <w:szCs w:val="24"/>
              </w:rPr>
              <w:t>ры, а также их проектирование и</w:t>
            </w:r>
            <w:r w:rsidRPr="00A57FFB">
              <w:rPr>
                <w:sz w:val="24"/>
                <w:szCs w:val="24"/>
              </w:rPr>
              <w:t xml:space="preserve"> строительс</w:t>
            </w:r>
            <w:r w:rsidRPr="00A57FFB">
              <w:rPr>
                <w:sz w:val="24"/>
                <w:szCs w:val="24"/>
              </w:rPr>
              <w:t>т</w:t>
            </w:r>
            <w:r w:rsidRPr="00A57FFB">
              <w:rPr>
                <w:sz w:val="24"/>
                <w:szCs w:val="24"/>
              </w:rPr>
              <w:t>во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4,5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A57FFB">
            <w:pPr>
              <w:jc w:val="both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Объекты промышленности, электроэнергетики, производства товаров народного потребления, а также их проектирование и строительство (кроме линейных объектов и св</w:t>
            </w:r>
            <w:r w:rsidRPr="00A57FFB">
              <w:rPr>
                <w:sz w:val="24"/>
                <w:szCs w:val="24"/>
              </w:rPr>
              <w:t>я</w:t>
            </w:r>
            <w:r w:rsidRPr="00A57FFB">
              <w:rPr>
                <w:sz w:val="24"/>
                <w:szCs w:val="24"/>
              </w:rPr>
              <w:t>занных с ними объектов)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</w:t>
            </w:r>
            <w:r w:rsidRPr="00A57FFB">
              <w:rPr>
                <w:sz w:val="24"/>
                <w:szCs w:val="24"/>
              </w:rPr>
              <w:t>и</w:t>
            </w:r>
            <w:r w:rsidRPr="00A57FFB">
              <w:rPr>
                <w:sz w:val="24"/>
                <w:szCs w:val="24"/>
              </w:rPr>
              <w:t>тельство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 xml:space="preserve">5 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A5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 xml:space="preserve">Земельные участки, занятые объектами связи, а также их проектирование и строительство (кроме линейных объектов) 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600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занятые объектами жилищно-коммунального хозяйства, типографий (кроме линейных объектов и св</w:t>
            </w:r>
            <w:r w:rsidRPr="00A57FFB">
              <w:rPr>
                <w:sz w:val="24"/>
                <w:szCs w:val="24"/>
              </w:rPr>
              <w:t>я</w:t>
            </w:r>
            <w:r w:rsidRPr="00A57FFB">
              <w:rPr>
                <w:sz w:val="24"/>
                <w:szCs w:val="24"/>
              </w:rPr>
              <w:t>занных с ними объектов):</w:t>
            </w:r>
          </w:p>
          <w:p w:rsidR="00425EEA" w:rsidRPr="00A57FFB" w:rsidRDefault="00425EEA" w:rsidP="00A57FFB">
            <w:pPr>
              <w:jc w:val="both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под объектами банно-прачечного хозяйства, тип</w:t>
            </w:r>
            <w:r w:rsidRPr="00A57FFB">
              <w:rPr>
                <w:sz w:val="24"/>
                <w:szCs w:val="24"/>
              </w:rPr>
              <w:t>о</w:t>
            </w:r>
            <w:r w:rsidR="000C1B12" w:rsidRPr="00A57FFB">
              <w:rPr>
                <w:sz w:val="24"/>
                <w:szCs w:val="24"/>
              </w:rPr>
              <w:t>графий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0,1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занятые объектами для складирования, изоляции и обезвр</w:t>
            </w:r>
            <w:r w:rsidRPr="00A57FFB">
              <w:rPr>
                <w:sz w:val="24"/>
                <w:szCs w:val="24"/>
              </w:rPr>
              <w:t>е</w:t>
            </w:r>
            <w:r w:rsidRPr="00A57FFB">
              <w:rPr>
                <w:sz w:val="24"/>
                <w:szCs w:val="24"/>
              </w:rPr>
              <w:t>живания ТБО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предназначенные для разработки  и добычи полезных ископа</w:t>
            </w:r>
            <w:r w:rsidRPr="00A57FFB">
              <w:rPr>
                <w:sz w:val="24"/>
                <w:szCs w:val="24"/>
              </w:rPr>
              <w:t>е</w:t>
            </w:r>
            <w:r w:rsidRPr="00A57FFB">
              <w:rPr>
                <w:sz w:val="24"/>
                <w:szCs w:val="24"/>
              </w:rPr>
              <w:t>мых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иное функциональное использование земельных учас</w:t>
            </w:r>
            <w:r w:rsidRPr="00A57FFB">
              <w:rPr>
                <w:sz w:val="24"/>
                <w:szCs w:val="24"/>
              </w:rPr>
              <w:t>т</w:t>
            </w:r>
            <w:r w:rsidRPr="00A57FFB">
              <w:rPr>
                <w:sz w:val="24"/>
                <w:szCs w:val="24"/>
              </w:rPr>
              <w:t>ков для всех категорий арендаторов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 w:val="restart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2.</w:t>
            </w:r>
            <w:r w:rsidR="008C5FEF" w:rsidRPr="00A57FFB">
              <w:rPr>
                <w:sz w:val="24"/>
                <w:szCs w:val="24"/>
              </w:rPr>
              <w:t xml:space="preserve"> </w:t>
            </w:r>
            <w:r w:rsidRPr="00A57FFB">
              <w:rPr>
                <w:sz w:val="24"/>
                <w:szCs w:val="24"/>
              </w:rPr>
              <w:t>Земли вне населённых пун</w:t>
            </w:r>
            <w:r w:rsidRPr="00A57FFB">
              <w:rPr>
                <w:sz w:val="24"/>
                <w:szCs w:val="24"/>
              </w:rPr>
              <w:t>к</w:t>
            </w:r>
            <w:r w:rsidRPr="00A57FFB">
              <w:rPr>
                <w:sz w:val="24"/>
                <w:szCs w:val="24"/>
              </w:rPr>
              <w:t>тов</w:t>
            </w: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 (кроме линейных объектов и св</w:t>
            </w:r>
            <w:r w:rsidRPr="00A57FFB">
              <w:rPr>
                <w:sz w:val="24"/>
                <w:szCs w:val="24"/>
              </w:rPr>
              <w:t>я</w:t>
            </w:r>
            <w:r w:rsidRPr="00A57FFB">
              <w:rPr>
                <w:sz w:val="24"/>
                <w:szCs w:val="24"/>
              </w:rPr>
              <w:t>занных с ними объектов)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100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Земли сельскохозяйственного назнач</w:t>
            </w:r>
            <w:r w:rsidRPr="00A57FFB">
              <w:rPr>
                <w:sz w:val="24"/>
                <w:szCs w:val="24"/>
              </w:rPr>
              <w:t>е</w:t>
            </w:r>
            <w:r w:rsidRPr="00A57FFB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0,3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Земли сельскохозяйственного назначения для р</w:t>
            </w:r>
            <w:r w:rsidRPr="00A57FFB">
              <w:rPr>
                <w:sz w:val="24"/>
                <w:szCs w:val="24"/>
              </w:rPr>
              <w:t>ы</w:t>
            </w:r>
            <w:r w:rsidRPr="00A57FFB">
              <w:rPr>
                <w:sz w:val="24"/>
                <w:szCs w:val="24"/>
              </w:rPr>
              <w:t>бохозяйственных нужд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0,1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Земли сельскохозяйственного назначения для целей, несвязанных с сельскохозяйственным испол</w:t>
            </w:r>
            <w:r w:rsidRPr="00A57FFB">
              <w:rPr>
                <w:sz w:val="24"/>
                <w:szCs w:val="24"/>
              </w:rPr>
              <w:t>ь</w:t>
            </w:r>
            <w:r w:rsidRPr="00A57FFB">
              <w:rPr>
                <w:sz w:val="24"/>
                <w:szCs w:val="24"/>
              </w:rPr>
              <w:t>зованием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500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занятые особо охраняемыми территориями и объе</w:t>
            </w:r>
            <w:r w:rsidRPr="00A57FFB">
              <w:rPr>
                <w:sz w:val="24"/>
                <w:szCs w:val="24"/>
              </w:rPr>
              <w:t>к</w:t>
            </w:r>
            <w:r w:rsidRPr="00A57FFB">
              <w:rPr>
                <w:sz w:val="24"/>
                <w:szCs w:val="24"/>
              </w:rPr>
              <w:t>тами:</w:t>
            </w:r>
          </w:p>
          <w:p w:rsidR="00425EEA" w:rsidRPr="00A57FFB" w:rsidRDefault="000C1B12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 xml:space="preserve">дома, базы отдыха, </w:t>
            </w:r>
            <w:r w:rsidR="00425EEA" w:rsidRPr="00A57FFB">
              <w:rPr>
                <w:sz w:val="24"/>
                <w:szCs w:val="24"/>
              </w:rPr>
              <w:t>туристические, оздоровительные комплексы, гостиницы, а также их проектир</w:t>
            </w:r>
            <w:r w:rsidR="00425EEA" w:rsidRPr="00A57FFB">
              <w:rPr>
                <w:sz w:val="24"/>
                <w:szCs w:val="24"/>
              </w:rPr>
              <w:t>о</w:t>
            </w:r>
            <w:r w:rsidRPr="00A57FFB">
              <w:rPr>
                <w:sz w:val="24"/>
                <w:szCs w:val="24"/>
              </w:rPr>
              <w:t xml:space="preserve">вание и </w:t>
            </w:r>
            <w:r w:rsidR="00425EEA" w:rsidRPr="00A57FFB">
              <w:rPr>
                <w:sz w:val="24"/>
                <w:szCs w:val="24"/>
              </w:rPr>
              <w:t>строительство;</w:t>
            </w:r>
          </w:p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 xml:space="preserve">прочие объекты, </w:t>
            </w:r>
            <w:r w:rsidR="008C5FEF" w:rsidRPr="00A57FFB">
              <w:rPr>
                <w:sz w:val="24"/>
                <w:szCs w:val="24"/>
              </w:rPr>
              <w:t>а также их проектирование и</w:t>
            </w:r>
            <w:r w:rsidRPr="00A57FFB">
              <w:rPr>
                <w:sz w:val="24"/>
                <w:szCs w:val="24"/>
              </w:rPr>
              <w:t xml:space="preserve"> строительство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0,6</w:t>
            </w: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8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0,3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предназначенные для разработки и добычи полезных и</w:t>
            </w:r>
            <w:r w:rsidRPr="00A57FFB">
              <w:rPr>
                <w:sz w:val="24"/>
                <w:szCs w:val="24"/>
              </w:rPr>
              <w:t>с</w:t>
            </w:r>
            <w:r w:rsidRPr="00A57FFB">
              <w:rPr>
                <w:sz w:val="24"/>
                <w:szCs w:val="24"/>
              </w:rPr>
              <w:t>копаемых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Объекты промышленности, электроэнергетики а также их проектирование и строительство (кроме линейных объектов и св</w:t>
            </w:r>
            <w:r w:rsidRPr="00A57FFB">
              <w:rPr>
                <w:sz w:val="24"/>
                <w:szCs w:val="24"/>
              </w:rPr>
              <w:t>я</w:t>
            </w:r>
            <w:r w:rsidRPr="00A57FFB">
              <w:rPr>
                <w:sz w:val="24"/>
                <w:szCs w:val="24"/>
              </w:rPr>
              <w:t>занных с ними объектов)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</w:t>
            </w:r>
            <w:r w:rsidRPr="00A57FFB">
              <w:rPr>
                <w:sz w:val="24"/>
                <w:szCs w:val="24"/>
              </w:rPr>
              <w:t>н</w:t>
            </w:r>
            <w:r w:rsidRPr="00A57FFB">
              <w:rPr>
                <w:sz w:val="24"/>
                <w:szCs w:val="24"/>
              </w:rPr>
              <w:t>ного (бессрочного) пользования):</w:t>
            </w:r>
          </w:p>
          <w:p w:rsidR="00425EEA" w:rsidRPr="00A57FFB" w:rsidRDefault="00425EEA" w:rsidP="00A5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площадью земельных участков</w:t>
            </w:r>
            <w:r w:rsidR="000C1B12" w:rsidRPr="00A57FFB">
              <w:rPr>
                <w:sz w:val="24"/>
                <w:szCs w:val="24"/>
              </w:rPr>
              <w:t xml:space="preserve"> до 300 кв.</w:t>
            </w:r>
            <w:r w:rsidRPr="00A57FFB">
              <w:rPr>
                <w:sz w:val="24"/>
                <w:szCs w:val="24"/>
              </w:rPr>
              <w:t>м</w:t>
            </w:r>
          </w:p>
          <w:p w:rsidR="00425EEA" w:rsidRPr="00A57FFB" w:rsidRDefault="00425EEA" w:rsidP="00A57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площадью земельных участков</w:t>
            </w:r>
            <w:r w:rsidR="000C1B12" w:rsidRPr="00A57FFB">
              <w:rPr>
                <w:sz w:val="24"/>
                <w:szCs w:val="24"/>
              </w:rPr>
              <w:t xml:space="preserve"> от 300 кв.</w:t>
            </w:r>
            <w:r w:rsidRPr="00A57FFB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</w:p>
          <w:p w:rsidR="000C1B12" w:rsidRPr="00A57FFB" w:rsidRDefault="000C1B12" w:rsidP="00A57FFB">
            <w:pPr>
              <w:jc w:val="center"/>
              <w:rPr>
                <w:sz w:val="24"/>
                <w:szCs w:val="24"/>
              </w:rPr>
            </w:pP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20000</w:t>
            </w:r>
          </w:p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2000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b/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занятые объектами для складирования, изоляции и обезвр</w:t>
            </w:r>
            <w:r w:rsidRPr="00A57FFB">
              <w:rPr>
                <w:sz w:val="24"/>
                <w:szCs w:val="24"/>
              </w:rPr>
              <w:t>е</w:t>
            </w:r>
            <w:r w:rsidRPr="00A57FFB">
              <w:rPr>
                <w:sz w:val="24"/>
                <w:szCs w:val="24"/>
              </w:rPr>
              <w:t>живания ТБО</w:t>
            </w:r>
            <w:r w:rsidRPr="00A57F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b/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2,5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8C5FEF" w:rsidRPr="00A57FFB" w:rsidRDefault="00425EEA" w:rsidP="00BC7256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занятые передвижными об</w:t>
            </w:r>
            <w:r w:rsidRPr="00A57FFB">
              <w:rPr>
                <w:sz w:val="24"/>
                <w:szCs w:val="24"/>
              </w:rPr>
              <w:t>ъ</w:t>
            </w:r>
            <w:r w:rsidRPr="00A57FFB">
              <w:rPr>
                <w:sz w:val="24"/>
                <w:szCs w:val="24"/>
              </w:rPr>
              <w:t>ектами, обеспечивающими снабжение населения сжиженным баллонным газом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4,5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Земельные участки, занятые объектами рекреационного, оздоровительного назнач</w:t>
            </w:r>
            <w:r w:rsidRPr="00A57FFB">
              <w:rPr>
                <w:sz w:val="24"/>
                <w:szCs w:val="24"/>
              </w:rPr>
              <w:t>е</w:t>
            </w:r>
            <w:r w:rsidRPr="00A57FFB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4,5</w:t>
            </w:r>
          </w:p>
        </w:tc>
      </w:tr>
      <w:tr w:rsidR="00425EEA" w:rsidRPr="00A57FFB" w:rsidTr="00A57FFB">
        <w:trPr>
          <w:cantSplit/>
          <w:trHeight w:val="20"/>
        </w:trPr>
        <w:tc>
          <w:tcPr>
            <w:tcW w:w="1281" w:type="dxa"/>
            <w:vMerge/>
          </w:tcPr>
          <w:p w:rsidR="00425EEA" w:rsidRPr="00A57FFB" w:rsidRDefault="00425EEA" w:rsidP="000C1B12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425EEA" w:rsidRPr="00A57FFB" w:rsidRDefault="008C5FEF" w:rsidP="000C1B12">
            <w:pPr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 xml:space="preserve">Земельные участки под </w:t>
            </w:r>
            <w:r w:rsidR="00425EEA" w:rsidRPr="00A57FFB">
              <w:rPr>
                <w:sz w:val="24"/>
                <w:szCs w:val="24"/>
              </w:rPr>
              <w:t>производственными объектами дорожного строительства, а также их ра</w:t>
            </w:r>
            <w:r w:rsidR="00425EEA" w:rsidRPr="00A57FFB">
              <w:rPr>
                <w:sz w:val="24"/>
                <w:szCs w:val="24"/>
              </w:rPr>
              <w:t>з</w:t>
            </w:r>
            <w:r w:rsidR="00425EEA" w:rsidRPr="00A57FFB">
              <w:rPr>
                <w:sz w:val="24"/>
                <w:szCs w:val="24"/>
              </w:rPr>
              <w:t xml:space="preserve">мещение, </w:t>
            </w:r>
            <w:r w:rsidRPr="00A57FFB">
              <w:rPr>
                <w:sz w:val="24"/>
                <w:szCs w:val="24"/>
              </w:rPr>
              <w:t xml:space="preserve">проектирование и </w:t>
            </w:r>
            <w:r w:rsidR="00425EEA" w:rsidRPr="00A57FF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425EEA" w:rsidRPr="00A57FFB" w:rsidRDefault="00425EEA" w:rsidP="00A57FFB">
            <w:pPr>
              <w:jc w:val="center"/>
              <w:rPr>
                <w:sz w:val="24"/>
                <w:szCs w:val="24"/>
              </w:rPr>
            </w:pPr>
            <w:r w:rsidRPr="00A57FFB">
              <w:rPr>
                <w:sz w:val="24"/>
                <w:szCs w:val="24"/>
              </w:rPr>
              <w:t>10</w:t>
            </w:r>
          </w:p>
        </w:tc>
      </w:tr>
    </w:tbl>
    <w:p w:rsidR="001A2394" w:rsidRPr="00B14017" w:rsidRDefault="001A2394" w:rsidP="000C1B12">
      <w:pPr>
        <w:spacing w:line="240" w:lineRule="exact"/>
        <w:jc w:val="right"/>
        <w:rPr>
          <w:sz w:val="2"/>
          <w:szCs w:val="2"/>
        </w:rPr>
      </w:pPr>
    </w:p>
    <w:sectPr w:rsidR="001A2394" w:rsidRPr="00B14017" w:rsidSect="00BC7256">
      <w:headerReference w:type="even" r:id="rId9"/>
      <w:headerReference w:type="default" r:id="rId10"/>
      <w:pgSz w:w="11907" w:h="16840" w:code="9"/>
      <w:pgMar w:top="964" w:right="567" w:bottom="340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58" w:rsidRDefault="00CA7558">
      <w:r>
        <w:separator/>
      </w:r>
    </w:p>
  </w:endnote>
  <w:endnote w:type="continuationSeparator" w:id="0">
    <w:p w:rsidR="00CA7558" w:rsidRDefault="00CA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58" w:rsidRDefault="00CA7558">
      <w:r>
        <w:separator/>
      </w:r>
    </w:p>
  </w:footnote>
  <w:footnote w:type="continuationSeparator" w:id="0">
    <w:p w:rsidR="00CA7558" w:rsidRDefault="00CA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8B6157">
        <w:rPr>
          <w:noProof/>
        </w:rPr>
        <w:t>3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C1B12"/>
    <w:rsid w:val="000D6FF1"/>
    <w:rsid w:val="000E416A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3139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4AFA"/>
    <w:rsid w:val="003860B1"/>
    <w:rsid w:val="00425EEA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96531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50039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C0FB5"/>
    <w:rsid w:val="007D08B2"/>
    <w:rsid w:val="007D0A74"/>
    <w:rsid w:val="007E2BD0"/>
    <w:rsid w:val="007E7F12"/>
    <w:rsid w:val="00832CEA"/>
    <w:rsid w:val="008338C5"/>
    <w:rsid w:val="0086006E"/>
    <w:rsid w:val="008A58F4"/>
    <w:rsid w:val="008B6157"/>
    <w:rsid w:val="008B701D"/>
    <w:rsid w:val="008C5FEF"/>
    <w:rsid w:val="00903B02"/>
    <w:rsid w:val="00922125"/>
    <w:rsid w:val="00932580"/>
    <w:rsid w:val="00952C02"/>
    <w:rsid w:val="00975A8A"/>
    <w:rsid w:val="0098028D"/>
    <w:rsid w:val="009B66D6"/>
    <w:rsid w:val="009C33BC"/>
    <w:rsid w:val="009D1F23"/>
    <w:rsid w:val="009D3189"/>
    <w:rsid w:val="009E3533"/>
    <w:rsid w:val="00A31C83"/>
    <w:rsid w:val="00A342D8"/>
    <w:rsid w:val="00A57FFB"/>
    <w:rsid w:val="00A73A45"/>
    <w:rsid w:val="00A8044A"/>
    <w:rsid w:val="00A8774F"/>
    <w:rsid w:val="00A903DC"/>
    <w:rsid w:val="00A97BA2"/>
    <w:rsid w:val="00AB5874"/>
    <w:rsid w:val="00AD73E9"/>
    <w:rsid w:val="00AF3E6F"/>
    <w:rsid w:val="00B02483"/>
    <w:rsid w:val="00B11628"/>
    <w:rsid w:val="00B14017"/>
    <w:rsid w:val="00B231A9"/>
    <w:rsid w:val="00B442DE"/>
    <w:rsid w:val="00B72542"/>
    <w:rsid w:val="00B80B01"/>
    <w:rsid w:val="00BA5EFA"/>
    <w:rsid w:val="00BB2748"/>
    <w:rsid w:val="00BB55DB"/>
    <w:rsid w:val="00BC7256"/>
    <w:rsid w:val="00BD3E13"/>
    <w:rsid w:val="00BD44ED"/>
    <w:rsid w:val="00BF17EE"/>
    <w:rsid w:val="00BF6841"/>
    <w:rsid w:val="00BF68F3"/>
    <w:rsid w:val="00C21259"/>
    <w:rsid w:val="00C27080"/>
    <w:rsid w:val="00C27979"/>
    <w:rsid w:val="00C301BF"/>
    <w:rsid w:val="00C413DC"/>
    <w:rsid w:val="00C538B6"/>
    <w:rsid w:val="00C67F35"/>
    <w:rsid w:val="00CA0714"/>
    <w:rsid w:val="00CA7558"/>
    <w:rsid w:val="00CB2131"/>
    <w:rsid w:val="00CD035C"/>
    <w:rsid w:val="00CE6061"/>
    <w:rsid w:val="00CF27CA"/>
    <w:rsid w:val="00D110D9"/>
    <w:rsid w:val="00D153A2"/>
    <w:rsid w:val="00D316AD"/>
    <w:rsid w:val="00D451A8"/>
    <w:rsid w:val="00D457D4"/>
    <w:rsid w:val="00D53CD0"/>
    <w:rsid w:val="00DD5734"/>
    <w:rsid w:val="00DD7251"/>
    <w:rsid w:val="00DE2FD1"/>
    <w:rsid w:val="00E01B18"/>
    <w:rsid w:val="00E67DF6"/>
    <w:rsid w:val="00E7151B"/>
    <w:rsid w:val="00E80E48"/>
    <w:rsid w:val="00EB33E0"/>
    <w:rsid w:val="00EB767B"/>
    <w:rsid w:val="00ED5B65"/>
    <w:rsid w:val="00F2549C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customStyle="1" w:styleId="ConsPlusNormal">
    <w:name w:val="ConsPlusNormal"/>
    <w:rsid w:val="001C313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6AFA89B43204CB23AE428AEC647C1452F92E9D83147073CF24040B74AC13467B0284891B978B79DA1BBtEn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6809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2023-09-19T06:11:00Z</cp:lastPrinted>
  <dcterms:created xsi:type="dcterms:W3CDTF">2023-12-27T13:43:00Z</dcterms:created>
  <dcterms:modified xsi:type="dcterms:W3CDTF">2023-12-27T13:43:00Z</dcterms:modified>
</cp:coreProperties>
</file>