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2189B">
        <w:rPr>
          <w:color w:val="000000"/>
          <w:sz w:val="28"/>
        </w:rPr>
        <w:t>22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B2189B">
        <w:rPr>
          <w:color w:val="000000"/>
          <w:sz w:val="28"/>
        </w:rPr>
        <w:t>898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2189B" w:rsidRDefault="00B2189B" w:rsidP="00B2189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координационного</w:t>
      </w:r>
    </w:p>
    <w:p w:rsidR="00B2189B" w:rsidRDefault="00B2189B" w:rsidP="00B2189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туризму</w:t>
      </w:r>
    </w:p>
    <w:p w:rsidR="00B2189B" w:rsidRDefault="00B2189B" w:rsidP="00B218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189B" w:rsidRDefault="00B2189B" w:rsidP="00B218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189B" w:rsidRDefault="00B2189B" w:rsidP="00B2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B2189B" w:rsidRDefault="00B2189B" w:rsidP="00B2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районный координационный совет по туризму.</w:t>
      </w:r>
    </w:p>
    <w:p w:rsidR="00B2189B" w:rsidRDefault="00B2189B" w:rsidP="00B2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 Положение о районном  координационном совете по туризму.</w:t>
      </w:r>
    </w:p>
    <w:p w:rsidR="00E01984" w:rsidRPr="00B2189B" w:rsidRDefault="00B2189B" w:rsidP="00B21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E454A5" w:rsidRDefault="00E454A5" w:rsidP="0006408A">
      <w:pPr>
        <w:ind w:left="709" w:hanging="709"/>
        <w:jc w:val="center"/>
        <w:rPr>
          <w:sz w:val="28"/>
          <w:szCs w:val="28"/>
        </w:rPr>
      </w:pPr>
    </w:p>
    <w:p w:rsidR="00E454A5" w:rsidRDefault="00E454A5" w:rsidP="0006408A">
      <w:pPr>
        <w:ind w:left="709" w:hanging="709"/>
        <w:jc w:val="center"/>
        <w:rPr>
          <w:sz w:val="28"/>
          <w:szCs w:val="28"/>
        </w:rPr>
      </w:pPr>
    </w:p>
    <w:p w:rsidR="00E454A5" w:rsidRDefault="00E454A5" w:rsidP="0006408A">
      <w:pPr>
        <w:ind w:left="709" w:hanging="709"/>
        <w:jc w:val="center"/>
        <w:rPr>
          <w:sz w:val="28"/>
          <w:szCs w:val="28"/>
        </w:rPr>
      </w:pPr>
    </w:p>
    <w:p w:rsidR="00E454A5" w:rsidRDefault="00E454A5" w:rsidP="0006408A">
      <w:pPr>
        <w:ind w:left="709" w:hanging="709"/>
        <w:jc w:val="center"/>
        <w:rPr>
          <w:sz w:val="28"/>
          <w:szCs w:val="28"/>
        </w:rPr>
      </w:pPr>
    </w:p>
    <w:p w:rsidR="00E454A5" w:rsidRDefault="00E454A5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06408A">
      <w:pPr>
        <w:ind w:left="709" w:hanging="709"/>
        <w:jc w:val="center"/>
        <w:rPr>
          <w:sz w:val="28"/>
          <w:szCs w:val="28"/>
        </w:rPr>
      </w:pPr>
    </w:p>
    <w:p w:rsidR="00B2189B" w:rsidRDefault="00B2189B" w:rsidP="00B2189B">
      <w:pPr>
        <w:ind w:left="709" w:hanging="709"/>
        <w:jc w:val="both"/>
        <w:rPr>
          <w:sz w:val="28"/>
          <w:szCs w:val="28"/>
        </w:rPr>
      </w:pPr>
    </w:p>
    <w:p w:rsidR="008607F6" w:rsidRDefault="008607F6" w:rsidP="008607F6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607F6" w:rsidRDefault="008607F6" w:rsidP="008607F6">
      <w:pPr>
        <w:spacing w:before="120"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607F6" w:rsidRDefault="008607F6" w:rsidP="008607F6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607F6" w:rsidRDefault="008607F6" w:rsidP="008607F6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22.05.2017  № 898</w:t>
      </w:r>
    </w:p>
    <w:p w:rsidR="008607F6" w:rsidRDefault="008607F6" w:rsidP="008607F6">
      <w:pPr>
        <w:ind w:firstLine="709"/>
        <w:jc w:val="right"/>
        <w:rPr>
          <w:sz w:val="28"/>
          <w:szCs w:val="28"/>
        </w:rPr>
      </w:pPr>
    </w:p>
    <w:p w:rsidR="008607F6" w:rsidRDefault="008607F6" w:rsidP="008607F6">
      <w:pPr>
        <w:ind w:firstLine="709"/>
        <w:jc w:val="center"/>
        <w:rPr>
          <w:b/>
          <w:sz w:val="28"/>
          <w:szCs w:val="28"/>
        </w:rPr>
      </w:pPr>
    </w:p>
    <w:p w:rsidR="008607F6" w:rsidRDefault="008607F6" w:rsidP="008607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607F6" w:rsidRDefault="008607F6" w:rsidP="008607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координационном совете по туризму</w:t>
      </w:r>
    </w:p>
    <w:p w:rsidR="008607F6" w:rsidRDefault="008607F6" w:rsidP="008607F6">
      <w:pPr>
        <w:ind w:firstLine="709"/>
        <w:jc w:val="both"/>
        <w:rPr>
          <w:sz w:val="28"/>
          <w:szCs w:val="28"/>
        </w:rPr>
      </w:pPr>
    </w:p>
    <w:p w:rsidR="008607F6" w:rsidRDefault="008607F6" w:rsidP="008607F6">
      <w:pPr>
        <w:pStyle w:val="ListParagraph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Районный координационный совет по туризму (далее – совет по туризму) является общественным коллегиальным совещательным органом при Администрации Валдайского муниципального района.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Совет по туризму создан в целях создания благоприятных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осуществления туристской деятельности, развития туристской инд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стрии в районе, обеспечения межведомственного взаимодействия и 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нации деятельности следующих заинтересованных организаций: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Валдайского муниципального района;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Администраций сельских поселений, входящих в состав Валдайского муниципального района;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органов исполнительной власти Новгородской области;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организаций, независимо от организационно-правовых форм;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совет по туризму руководствуется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ральными, областными и районными нормативными правовыми актами и настоящим Положением.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</w:p>
    <w:p w:rsidR="008607F6" w:rsidRDefault="008607F6" w:rsidP="008607F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2.Задачи совета по туризму: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2.1.Основными задачами совета по туризму являются: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правовой, организационной и экономической среды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туристской индустрии в Валдайском муниципальном районе;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комплексных мер, обеспечивающих эффективное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 туристских ресурсов в Валдайском муниципальном районе;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и разработка предложений по оптимизации финансово-экономического состояния туристско-рекреационного комплекса и перспе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 его развития, </w:t>
      </w:r>
      <w:proofErr w:type="spellStart"/>
      <w:r>
        <w:rPr>
          <w:sz w:val="28"/>
          <w:szCs w:val="28"/>
        </w:rPr>
        <w:t>конкурентноспособности</w:t>
      </w:r>
      <w:proofErr w:type="spellEnd"/>
      <w:r>
        <w:rPr>
          <w:sz w:val="28"/>
          <w:szCs w:val="28"/>
        </w:rPr>
        <w:t xml:space="preserve"> туристско-рекреационных услуг в Валдайском муниципальном районе на внутреннем и внешних рынках;</w:t>
      </w:r>
      <w:proofErr w:type="gramEnd"/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привлечению инвестиций в развитие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ристско-рекреационного комплекса, повышению конкурентоспособности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ристско-рекреационных услуг, поиск оптимальных путей сохранения,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и развития туристских ресурсов Валдайского муниципального района;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предложений по совершенствованию механизмов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организаций в туристско-рекреационном комплексе Валдайского муниципального района.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</w:p>
    <w:p w:rsidR="008607F6" w:rsidRDefault="008607F6" w:rsidP="008607F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совета по туризму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Для реализации основных задач совет по туризму осуществляет следующие функции: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подготовке проектов районных нормативных правовых актов, направленных на совершенствование туристской индустрии в Валдайском муниципальном районе;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предложения по разработке и реализации основных направлений государственной политики в сфере развития туристско-рекреационного комплекса Валдайского муниципального района.  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3.2.В целях реализации возможных функций совет по туризму имеет право: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информацию от организаций всех форм собственности для выполнения задач совета по туризму;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совета по туризму представителей органов местного самоуправления, а также руководителей, осуществляющих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в сфере туристской индустрии.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</w:p>
    <w:p w:rsidR="008607F6" w:rsidRDefault="008607F6" w:rsidP="008607F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Принципы деятельности совета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Совет осуществляет свою деятельность в соответствии с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задачами на основе принципов законности, объективности,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и гласности.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Все члены совета осуществляют свою деятельность в совете на безвозмездной основе.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</w:p>
    <w:p w:rsidR="008607F6" w:rsidRDefault="008607F6" w:rsidP="008607F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совета по туризму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В состав совета входят председатель совета, заместитель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совета, секретарь совета и члены совета, число которых не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тируется. Персональный состав совета утверждается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Членами совета могут быть представители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общественных объединений, коммерческих и некоммерческих туристских организаций, осуществляющих туристскую деятельность,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 от их организационно-правовых форм.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Для решения задач, установленных настоящим Положением, в структуре совета по туризму создаются рабочие группы по отдельным направлениям работы совета. Рабочие группы возглавляют члены совета, утверждаемые на заседаниях совета по туризму по представлению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совета. Председатель совета, заместитель председателя совета и 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тарь совета вправе участвовать в заседаниях рабочих групп.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Председатель совета: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совета;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председательствует на заседаниях совета;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направления деятельности совета;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планы работы совета;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состав рабочих групп совета;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выполнение принятых решений;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совет во взаимоотношениях с государственными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нами, органами местного самоуправления, общественными объединениями, коммерческими и некоммерческими организациями.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В случае отсутствия председателя совета его обязанности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няет его заместитель.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Секретарь совета: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подготовку планов работы совета, необходимых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материалов к заседаниям совета, а также проектов его решений;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совета о месте, дате, времени проведения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вестке дня очередного заседания совета, обеспечивает их необходимыми справочно-информационными материалами;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оформляет протоколы заседаний совета;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принимает в период между заседаниями совета решения по вопросам, отнесённым к его компетенции.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</w:p>
    <w:p w:rsidR="008607F6" w:rsidRDefault="008607F6" w:rsidP="008607F6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работы совета по туризму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Заседания совета по туризму проводятся председателем совета (или его заместителем) по мере необходимости, но не реже 1 раза в квартал, и считаются правомочными  при наличии  более половины членов совета.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рабочих групп совета проводятся, как правило, 1 раз в месяц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дителями рабочих групп с участием председателя совета (заместителя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седателя) и (или) секретаря совета.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 По решению совета на заседания могут быть приглашены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органов государственной власти 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Валдайского муниципального района, руководители предприятий,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и организаций, общественных объединений, средств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специалисты и эксперты в зависимости от рассматрива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вопросов.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Решения совета по туризму принимаются открытым голосованием простым большинством членов совета, участвующих в заседаниях. При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венстве голосов голос председательствующего является решающим.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Решения совета по туризму носят рекомендательный характер, оформляются протоколом, который подписывается председательствующим и секретарём.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Организационное, материально-техническое, информационное обеспечение деятельности совета осуществляет комитет культуры и туризма Администрации Валдайского муниципального района.</w:t>
      </w:r>
    </w:p>
    <w:p w:rsidR="008607F6" w:rsidRDefault="008607F6" w:rsidP="008607F6">
      <w:pPr>
        <w:ind w:firstLine="851"/>
        <w:jc w:val="both"/>
        <w:rPr>
          <w:sz w:val="28"/>
          <w:szCs w:val="28"/>
        </w:rPr>
      </w:pPr>
    </w:p>
    <w:p w:rsidR="008607F6" w:rsidRDefault="008607F6" w:rsidP="008607F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2189B" w:rsidRPr="0089451F" w:rsidRDefault="00B2189B" w:rsidP="00B2189B">
      <w:pPr>
        <w:ind w:left="709" w:hanging="709"/>
        <w:jc w:val="both"/>
        <w:rPr>
          <w:sz w:val="28"/>
          <w:szCs w:val="28"/>
        </w:rPr>
      </w:pPr>
    </w:p>
    <w:sectPr w:rsidR="00B2189B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65" w:rsidRDefault="00CB1365">
      <w:r>
        <w:separator/>
      </w:r>
    </w:p>
  </w:endnote>
  <w:endnote w:type="continuationSeparator" w:id="0">
    <w:p w:rsidR="00CB1365" w:rsidRDefault="00CB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65" w:rsidRDefault="00CB1365">
      <w:r>
        <w:separator/>
      </w:r>
    </w:p>
  </w:footnote>
  <w:footnote w:type="continuationSeparator" w:id="0">
    <w:p w:rsidR="00CB1365" w:rsidRDefault="00CB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454A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365DF"/>
    <w:multiLevelType w:val="multilevel"/>
    <w:tmpl w:val="B63A40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5851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07F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189B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1365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0EF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54A5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8607F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8607F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2017-05-23T12:27:00Z</cp:lastPrinted>
  <dcterms:created xsi:type="dcterms:W3CDTF">2017-05-23T13:41:00Z</dcterms:created>
  <dcterms:modified xsi:type="dcterms:W3CDTF">2017-05-23T13:41:00Z</dcterms:modified>
</cp:coreProperties>
</file>